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Look w:val="04A0" w:firstRow="1" w:lastRow="0" w:firstColumn="1" w:lastColumn="0" w:noHBand="0" w:noVBand="1"/>
      </w:tblPr>
      <w:tblGrid>
        <w:gridCol w:w="5162"/>
        <w:gridCol w:w="5162"/>
      </w:tblGrid>
      <w:tr w:rsidR="00412FB9" w14:paraId="03FA708E" w14:textId="77777777">
        <w:trPr>
          <w:jc w:val="center"/>
        </w:trPr>
        <w:tc>
          <w:tcPr>
            <w:tcW w:w="5162" w:type="dxa"/>
            <w:tcBorders>
              <w:top w:val="nil"/>
              <w:left w:val="nil"/>
              <w:bottom w:val="nil"/>
              <w:right w:val="nil"/>
            </w:tcBorders>
            <w:shd w:val="clear" w:color="auto" w:fill="17324D"/>
            <w:tcMar>
              <w:top w:w="100" w:type="dxa"/>
              <w:left w:w="130" w:type="dxa"/>
              <w:bottom w:w="100" w:type="dxa"/>
              <w:right w:w="130" w:type="dxa"/>
            </w:tcMar>
          </w:tcPr>
          <w:p w14:paraId="7DBD150D" w14:textId="77777777" w:rsidR="00412FB9" w:rsidRDefault="00000000">
            <w:pPr>
              <w:spacing w:after="20"/>
            </w:pPr>
            <w:r>
              <w:rPr>
                <w:rFonts w:ascii="Aptos Display" w:hAnsi="Aptos Display"/>
                <w:b/>
                <w:color w:val="FFFFFF"/>
                <w:sz w:val="30"/>
              </w:rPr>
              <w:t>ROSKOVEC MUNICIPAL NEWSLETTER</w:t>
            </w:r>
          </w:p>
          <w:p w14:paraId="59DD890F" w14:textId="77777777" w:rsidR="00412FB9" w:rsidRDefault="00000000">
            <w:pPr>
              <w:spacing w:after="0"/>
            </w:pPr>
            <w:r>
              <w:rPr>
                <w:b/>
                <w:color w:val="C49A5A"/>
                <w:sz w:val="16"/>
              </w:rPr>
              <w:t>SPECIAL EDITION  •  STUDY VISIT TO LEZHË</w:t>
            </w:r>
          </w:p>
        </w:tc>
        <w:tc>
          <w:tcPr>
            <w:tcW w:w="5162" w:type="dxa"/>
            <w:tcBorders>
              <w:top w:val="nil"/>
              <w:left w:val="nil"/>
              <w:bottom w:val="nil"/>
              <w:right w:val="nil"/>
            </w:tcBorders>
            <w:shd w:val="clear" w:color="auto" w:fill="17324D"/>
            <w:tcMar>
              <w:top w:w="100" w:type="dxa"/>
              <w:left w:w="130" w:type="dxa"/>
              <w:bottom w:w="100" w:type="dxa"/>
              <w:right w:w="130" w:type="dxa"/>
            </w:tcMar>
          </w:tcPr>
          <w:p w14:paraId="22DFEFAC" w14:textId="77777777" w:rsidR="00412FB9" w:rsidRDefault="00000000">
            <w:pPr>
              <w:spacing w:after="0"/>
              <w:jc w:val="right"/>
            </w:pPr>
            <w:r>
              <w:rPr>
                <w:rFonts w:ascii="Aptos Display" w:hAnsi="Aptos Display"/>
                <w:b/>
                <w:color w:val="FFFFFF"/>
                <w:sz w:val="28"/>
              </w:rPr>
              <w:t>JULY 2026</w:t>
            </w:r>
          </w:p>
        </w:tc>
      </w:tr>
    </w:tbl>
    <w:p w14:paraId="39BCAD9C" w14:textId="77777777" w:rsidR="00412FB9" w:rsidRDefault="00412FB9">
      <w:pPr>
        <w:spacing w:after="20"/>
      </w:pPr>
    </w:p>
    <w:p w14:paraId="165D1217" w14:textId="77777777" w:rsidR="00412FB9" w:rsidRDefault="00000000">
      <w:pPr>
        <w:spacing w:after="60"/>
        <w:jc w:val="center"/>
      </w:pPr>
      <w:r>
        <w:rPr>
          <w:noProof/>
        </w:rPr>
        <w:drawing>
          <wp:inline distT="0" distB="0" distL="0" distR="0" wp14:anchorId="1A5C27B9" wp14:editId="5C6CB401">
            <wp:extent cx="653796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a:stretch>
                      <a:fillRect/>
                    </a:stretch>
                  </pic:blipFill>
                  <pic:spPr>
                    <a:xfrm>
                      <a:off x="0" y="0"/>
                      <a:ext cx="6537960" cy="2971800"/>
                    </a:xfrm>
                    <a:prstGeom prst="rect">
                      <a:avLst/>
                    </a:prstGeom>
                  </pic:spPr>
                </pic:pic>
              </a:graphicData>
            </a:graphic>
          </wp:inline>
        </w:drawing>
      </w:r>
    </w:p>
    <w:p w14:paraId="0B8BBCB9" w14:textId="77777777" w:rsidR="00412FB9" w:rsidRPr="00544E89" w:rsidRDefault="00000000">
      <w:pPr>
        <w:spacing w:before="80" w:after="40"/>
      </w:pPr>
      <w:r w:rsidRPr="00544E89">
        <w:rPr>
          <w:b/>
          <w:color w:val="8B2E3B"/>
          <w:sz w:val="18"/>
        </w:rPr>
        <w:t>ROSKOVEC AND LEZHË MUNICIPALITIES</w:t>
      </w:r>
    </w:p>
    <w:p w14:paraId="0AD3B9CF" w14:textId="77777777" w:rsidR="00412FB9" w:rsidRDefault="00000000">
      <w:pPr>
        <w:spacing w:before="120" w:after="120" w:line="228" w:lineRule="auto"/>
      </w:pPr>
      <w:r w:rsidRPr="00544E89">
        <w:rPr>
          <w:rFonts w:ascii="Aptos Display" w:hAnsi="Aptos Display"/>
          <w:b/>
          <w:color w:val="17324D"/>
          <w:sz w:val="50"/>
        </w:rPr>
        <w:t>Strengthening Cooperation for Good Governance and Better Public Services</w:t>
      </w:r>
    </w:p>
    <w:tbl>
      <w:tblPr>
        <w:tblW w:w="11494" w:type="dxa"/>
        <w:jc w:val="center"/>
        <w:tblLayout w:type="fixed"/>
        <w:tblLook w:val="04A0" w:firstRow="1" w:lastRow="0" w:firstColumn="1" w:lastColumn="0" w:noHBand="0" w:noVBand="1"/>
      </w:tblPr>
      <w:tblGrid>
        <w:gridCol w:w="405"/>
        <w:gridCol w:w="2851"/>
        <w:gridCol w:w="3258"/>
        <w:gridCol w:w="3811"/>
        <w:gridCol w:w="1074"/>
        <w:gridCol w:w="95"/>
      </w:tblGrid>
      <w:tr w:rsidR="00412FB9" w14:paraId="344E0974" w14:textId="77777777" w:rsidTr="00F97DC9">
        <w:trPr>
          <w:gridBefore w:val="1"/>
          <w:gridAfter w:val="1"/>
          <w:wBefore w:w="405" w:type="dxa"/>
          <w:wAfter w:w="95" w:type="dxa"/>
          <w:trHeight w:val="2411"/>
          <w:jc w:val="center"/>
        </w:trPr>
        <w:tc>
          <w:tcPr>
            <w:tcW w:w="6109" w:type="dxa"/>
            <w:gridSpan w:val="2"/>
            <w:tcBorders>
              <w:top w:val="nil"/>
              <w:left w:val="nil"/>
              <w:bottom w:val="nil"/>
              <w:right w:val="nil"/>
            </w:tcBorders>
            <w:tcMar>
              <w:top w:w="90" w:type="dxa"/>
              <w:left w:w="110" w:type="dxa"/>
              <w:bottom w:w="90" w:type="dxa"/>
              <w:right w:w="110" w:type="dxa"/>
            </w:tcMar>
          </w:tcPr>
          <w:p w14:paraId="778C014E" w14:textId="77777777" w:rsidR="00412FB9" w:rsidRPr="00544E89" w:rsidRDefault="00000000">
            <w:pPr>
              <w:spacing w:after="60" w:line="259" w:lineRule="auto"/>
            </w:pPr>
            <w:r w:rsidRPr="00544E89">
              <w:rPr>
                <w:b/>
                <w:color w:val="263238"/>
                <w:sz w:val="22"/>
              </w:rPr>
              <w:t xml:space="preserve">The Municipality of </w:t>
            </w:r>
            <w:proofErr w:type="spellStart"/>
            <w:r w:rsidRPr="00544E89">
              <w:rPr>
                <w:b/>
                <w:color w:val="263238"/>
                <w:sz w:val="22"/>
              </w:rPr>
              <w:t>Roskovec</w:t>
            </w:r>
            <w:proofErr w:type="spellEnd"/>
            <w:r w:rsidRPr="00544E89">
              <w:rPr>
                <w:b/>
                <w:color w:val="263238"/>
                <w:sz w:val="22"/>
              </w:rPr>
              <w:t>, under the leadership of Mayor Ms Majlinda Bufi, successfully concluded a two-day study visit to the Municipality of Lezhë, held on 12–13 July 2026 within the framework of the Good Governance Programme.</w:t>
            </w:r>
          </w:p>
          <w:p w14:paraId="511AF5A3" w14:textId="77777777" w:rsidR="00412FB9" w:rsidRDefault="00000000">
            <w:pPr>
              <w:spacing w:after="60" w:line="259" w:lineRule="auto"/>
            </w:pPr>
            <w:r w:rsidRPr="00544E89">
              <w:rPr>
                <w:color w:val="5F6B73"/>
              </w:rPr>
              <w:t>The 14-member delegation was welcomed by the Mayor of Lezhë, Mr Pjerin Ndreu. The visit combined official meetings, professional presentations, peer exchange and field visits, creating a practical platform for institutional learning and cooperation.</w:t>
            </w:r>
          </w:p>
        </w:tc>
        <w:tc>
          <w:tcPr>
            <w:tcW w:w="4885" w:type="dxa"/>
            <w:gridSpan w:val="2"/>
            <w:tcBorders>
              <w:top w:val="nil"/>
              <w:left w:val="nil"/>
              <w:bottom w:val="nil"/>
              <w:right w:val="nil"/>
            </w:tcBorders>
            <w:shd w:val="clear" w:color="auto" w:fill="EAF1F5"/>
            <w:tcMar>
              <w:top w:w="90" w:type="dxa"/>
              <w:left w:w="110" w:type="dxa"/>
              <w:bottom w:w="90" w:type="dxa"/>
              <w:right w:w="110" w:type="dxa"/>
            </w:tcMar>
          </w:tcPr>
          <w:p w14:paraId="124E4210" w14:textId="77777777" w:rsidR="00412FB9" w:rsidRDefault="00000000">
            <w:pPr>
              <w:spacing w:after="60" w:line="259" w:lineRule="auto"/>
            </w:pPr>
            <w:r>
              <w:rPr>
                <w:b/>
                <w:color w:val="8B2E3B"/>
                <w:sz w:val="16"/>
              </w:rPr>
              <w:t>AT A GLANCE</w:t>
            </w:r>
          </w:p>
          <w:p w14:paraId="5F491D1A" w14:textId="77777777" w:rsidR="00412FB9" w:rsidRDefault="00000000">
            <w:pPr>
              <w:spacing w:after="60"/>
            </w:pPr>
            <w:r>
              <w:rPr>
                <w:color w:val="263238"/>
                <w:sz w:val="18"/>
              </w:rPr>
              <w:t>•  2-day study visit</w:t>
            </w:r>
          </w:p>
          <w:p w14:paraId="12EE5E9E" w14:textId="77777777" w:rsidR="00412FB9" w:rsidRDefault="00000000">
            <w:pPr>
              <w:spacing w:after="60"/>
            </w:pPr>
            <w:r>
              <w:rPr>
                <w:color w:val="263238"/>
                <w:sz w:val="18"/>
              </w:rPr>
              <w:t>•  14 municipal representatives</w:t>
            </w:r>
          </w:p>
          <w:p w14:paraId="5DB083A7" w14:textId="77777777" w:rsidR="00412FB9" w:rsidRDefault="00000000">
            <w:pPr>
              <w:spacing w:after="60"/>
            </w:pPr>
            <w:r>
              <w:rPr>
                <w:color w:val="263238"/>
                <w:sz w:val="18"/>
              </w:rPr>
              <w:t>•  Good Governance Programme</w:t>
            </w:r>
          </w:p>
          <w:p w14:paraId="57B7769B" w14:textId="77777777" w:rsidR="00412FB9" w:rsidRDefault="00000000">
            <w:pPr>
              <w:spacing w:after="60"/>
            </w:pPr>
            <w:r>
              <w:rPr>
                <w:color w:val="263238"/>
                <w:sz w:val="18"/>
              </w:rPr>
              <w:t>•  Peer learning and field visits</w:t>
            </w:r>
          </w:p>
        </w:tc>
      </w:tr>
      <w:tr w:rsidR="00412FB9" w14:paraId="2589ED7B" w14:textId="77777777" w:rsidTr="00F97DC9">
        <w:trPr>
          <w:trHeight w:hRule="exact" w:val="1757"/>
          <w:jc w:val="center"/>
        </w:trPr>
        <w:tc>
          <w:tcPr>
            <w:tcW w:w="3256" w:type="dxa"/>
            <w:gridSpan w:val="2"/>
            <w:tcBorders>
              <w:top w:val="nil"/>
              <w:left w:val="nil"/>
              <w:bottom w:val="nil"/>
              <w:right w:val="nil"/>
            </w:tcBorders>
            <w:tcMar>
              <w:top w:w="25" w:type="dxa"/>
              <w:left w:w="30" w:type="dxa"/>
              <w:bottom w:w="25" w:type="dxa"/>
              <w:right w:w="30" w:type="dxa"/>
            </w:tcMar>
            <w:vAlign w:val="center"/>
          </w:tcPr>
          <w:p w14:paraId="30CD6542" w14:textId="77777777" w:rsidR="00961BDF" w:rsidRDefault="00000000">
            <w:pPr>
              <w:spacing w:after="0"/>
              <w:jc w:val="center"/>
            </w:pPr>
            <w:r>
              <w:rPr>
                <w:noProof/>
              </w:rPr>
              <w:drawing>
                <wp:inline distT="0" distB="0" distL="0" distR="0" wp14:anchorId="60F558D0" wp14:editId="3F5D0A5D">
                  <wp:extent cx="2487168" cy="10789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strip.jpg"/>
                          <pic:cNvPicPr/>
                        </pic:nvPicPr>
                        <pic:blipFill>
                          <a:blip r:embed="rId9"/>
                          <a:stretch>
                            <a:fillRect/>
                          </a:stretch>
                        </pic:blipFill>
                        <pic:spPr>
                          <a:xfrm>
                            <a:off x="0" y="0"/>
                            <a:ext cx="2487168" cy="1078992"/>
                          </a:xfrm>
                          <a:prstGeom prst="rect">
                            <a:avLst/>
                          </a:prstGeom>
                        </pic:spPr>
                      </pic:pic>
                    </a:graphicData>
                  </a:graphic>
                </wp:inline>
              </w:drawing>
            </w:r>
          </w:p>
        </w:tc>
        <w:tc>
          <w:tcPr>
            <w:tcW w:w="3258" w:type="dxa"/>
            <w:tcBorders>
              <w:top w:val="nil"/>
              <w:left w:val="nil"/>
              <w:bottom w:val="nil"/>
              <w:right w:val="nil"/>
            </w:tcBorders>
            <w:tcMar>
              <w:top w:w="25" w:type="dxa"/>
              <w:left w:w="30" w:type="dxa"/>
              <w:bottom w:w="25" w:type="dxa"/>
              <w:right w:w="30" w:type="dxa"/>
            </w:tcMar>
            <w:vAlign w:val="center"/>
          </w:tcPr>
          <w:p w14:paraId="52B25EB5" w14:textId="77777777" w:rsidR="00961BDF" w:rsidRDefault="00000000">
            <w:pPr>
              <w:spacing w:after="0"/>
              <w:jc w:val="center"/>
            </w:pPr>
            <w:r>
              <w:rPr>
                <w:noProof/>
              </w:rPr>
              <w:drawing>
                <wp:inline distT="0" distB="0" distL="0" distR="0" wp14:anchorId="6F6373B7" wp14:editId="555B1CD4">
                  <wp:extent cx="2487168" cy="1078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strip.jpg"/>
                          <pic:cNvPicPr/>
                        </pic:nvPicPr>
                        <pic:blipFill>
                          <a:blip r:embed="rId10"/>
                          <a:stretch>
                            <a:fillRect/>
                          </a:stretch>
                        </pic:blipFill>
                        <pic:spPr>
                          <a:xfrm>
                            <a:off x="0" y="0"/>
                            <a:ext cx="2487168" cy="1078992"/>
                          </a:xfrm>
                          <a:prstGeom prst="rect">
                            <a:avLst/>
                          </a:prstGeom>
                        </pic:spPr>
                      </pic:pic>
                    </a:graphicData>
                  </a:graphic>
                </wp:inline>
              </w:drawing>
            </w:r>
          </w:p>
        </w:tc>
        <w:tc>
          <w:tcPr>
            <w:tcW w:w="4980" w:type="dxa"/>
            <w:gridSpan w:val="3"/>
            <w:tcBorders>
              <w:top w:val="nil"/>
              <w:left w:val="nil"/>
              <w:bottom w:val="nil"/>
              <w:right w:val="nil"/>
            </w:tcBorders>
            <w:tcMar>
              <w:top w:w="25" w:type="dxa"/>
              <w:left w:w="30" w:type="dxa"/>
              <w:bottom w:w="25" w:type="dxa"/>
              <w:right w:w="30" w:type="dxa"/>
            </w:tcMar>
            <w:vAlign w:val="center"/>
          </w:tcPr>
          <w:p w14:paraId="1FE81568" w14:textId="77777777" w:rsidR="00961BDF" w:rsidRDefault="00000000">
            <w:pPr>
              <w:spacing w:after="0"/>
              <w:jc w:val="center"/>
            </w:pPr>
            <w:r>
              <w:rPr>
                <w:noProof/>
              </w:rPr>
              <w:drawing>
                <wp:inline distT="0" distB="0" distL="0" distR="0" wp14:anchorId="236DD9D8" wp14:editId="484AEB5D">
                  <wp:extent cx="2487168" cy="10789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_strip.jpg"/>
                          <pic:cNvPicPr/>
                        </pic:nvPicPr>
                        <pic:blipFill>
                          <a:blip r:embed="rId11"/>
                          <a:stretch>
                            <a:fillRect/>
                          </a:stretch>
                        </pic:blipFill>
                        <pic:spPr>
                          <a:xfrm>
                            <a:off x="0" y="0"/>
                            <a:ext cx="2487168" cy="1078992"/>
                          </a:xfrm>
                          <a:prstGeom prst="rect">
                            <a:avLst/>
                          </a:prstGeom>
                        </pic:spPr>
                      </pic:pic>
                    </a:graphicData>
                  </a:graphic>
                </wp:inline>
              </w:drawing>
            </w:r>
          </w:p>
        </w:tc>
      </w:tr>
      <w:tr w:rsidR="00412FB9" w14:paraId="3821FDFE" w14:textId="77777777">
        <w:tblPrEx>
          <w:jc w:val="left"/>
        </w:tblPrEx>
        <w:trPr>
          <w:gridAfter w:val="2"/>
          <w:wAfter w:w="1169" w:type="dxa"/>
        </w:trPr>
        <w:tc>
          <w:tcPr>
            <w:tcW w:w="10325" w:type="dxa"/>
            <w:gridSpan w:val="4"/>
            <w:tcBorders>
              <w:top w:val="nil"/>
              <w:left w:val="nil"/>
              <w:bottom w:val="nil"/>
              <w:right w:val="nil"/>
            </w:tcBorders>
            <w:shd w:val="clear" w:color="auto" w:fill="C49A5A"/>
            <w:tcMar>
              <w:top w:w="40" w:type="dxa"/>
              <w:left w:w="100" w:type="dxa"/>
              <w:bottom w:w="40" w:type="dxa"/>
              <w:right w:w="100" w:type="dxa"/>
            </w:tcMar>
          </w:tcPr>
          <w:p w14:paraId="37685217" w14:textId="77777777" w:rsidR="00412FB9" w:rsidRDefault="00000000">
            <w:pPr>
              <w:pageBreakBefore/>
              <w:spacing w:after="0"/>
            </w:pPr>
            <w:r>
              <w:rPr>
                <w:b/>
                <w:color w:val="FFFFFF"/>
                <w:sz w:val="16"/>
              </w:rPr>
              <w:lastRenderedPageBreak/>
              <w:t>INSTITUTIONAL EXCHANGE</w:t>
            </w:r>
          </w:p>
        </w:tc>
      </w:tr>
    </w:tbl>
    <w:p w14:paraId="0B19D79D" w14:textId="77777777" w:rsidR="00412FB9" w:rsidRDefault="00000000">
      <w:pPr>
        <w:keepNext/>
        <w:spacing w:after="100"/>
      </w:pPr>
      <w:r>
        <w:rPr>
          <w:rFonts w:ascii="Aptos Display" w:hAnsi="Aptos Display"/>
          <w:b/>
          <w:color w:val="17324D"/>
          <w:sz w:val="36"/>
        </w:rPr>
        <w:t>From Dialogue to Practical Cooperation</w:t>
      </w:r>
    </w:p>
    <w:p w14:paraId="79714972" w14:textId="77777777" w:rsidR="00412FB9" w:rsidRDefault="00000000">
      <w:pPr>
        <w:spacing w:line="245" w:lineRule="auto"/>
        <w:jc w:val="both"/>
      </w:pPr>
      <w:r>
        <w:rPr>
          <w:color w:val="263238"/>
          <w:sz w:val="20"/>
        </w:rPr>
        <w:t>The visit began with an official meeting in the office of the Mayor of Lezhë and continued with a working session near the City Library. In their welcoming remarks, both mayors underlined the importance of exchanging good practices between local self-government units, strengthening inter-institutional cooperation, and sharing practical solutions that improve the quality of public services for citizens.</w:t>
      </w:r>
    </w:p>
    <w:p w14:paraId="0A1B8916" w14:textId="77777777" w:rsidR="00412FB9" w:rsidRDefault="00000000">
      <w:pPr>
        <w:spacing w:line="245" w:lineRule="auto"/>
        <w:jc w:val="both"/>
      </w:pPr>
      <w:r>
        <w:rPr>
          <w:color w:val="263238"/>
          <w:sz w:val="20"/>
        </w:rPr>
        <w:t>Mayor Pjerin Ndreu thanked Mayor Majlinda Bufi for launching this valuable initiative to strengthen good governance through study visits among Albanian municipalities. He emphasised that municipalities across the country have much to share and learn from one another, particularly through the exchange of practical approaches and the replication of successful models, including the co-financing mechanism recently applied in Roskovec within the framework of the Good Governance Programme.</w:t>
      </w:r>
    </w:p>
    <w:tbl>
      <w:tblPr>
        <w:tblW w:w="0" w:type="auto"/>
        <w:jc w:val="center"/>
        <w:tblLayout w:type="fixed"/>
        <w:tblLook w:val="04A0" w:firstRow="1" w:lastRow="0" w:firstColumn="1" w:lastColumn="0" w:noHBand="0" w:noVBand="1"/>
      </w:tblPr>
      <w:tblGrid>
        <w:gridCol w:w="5162"/>
        <w:gridCol w:w="5162"/>
      </w:tblGrid>
      <w:tr w:rsidR="00412FB9" w14:paraId="0D01D08B" w14:textId="77777777">
        <w:trPr>
          <w:jc w:val="center"/>
        </w:trPr>
        <w:tc>
          <w:tcPr>
            <w:tcW w:w="5162" w:type="dxa"/>
            <w:tcBorders>
              <w:top w:val="nil"/>
              <w:left w:val="nil"/>
              <w:bottom w:val="nil"/>
              <w:right w:val="nil"/>
            </w:tcBorders>
            <w:shd w:val="clear" w:color="auto" w:fill="17324D"/>
            <w:tcMar>
              <w:top w:w="120" w:type="dxa"/>
              <w:left w:w="140" w:type="dxa"/>
              <w:bottom w:w="120" w:type="dxa"/>
              <w:right w:w="140" w:type="dxa"/>
            </w:tcMar>
          </w:tcPr>
          <w:p w14:paraId="5D66CF68" w14:textId="77777777" w:rsidR="00412FB9" w:rsidRDefault="00000000">
            <w:pPr>
              <w:spacing w:after="100"/>
            </w:pPr>
            <w:r>
              <w:rPr>
                <w:rFonts w:ascii="Georgia" w:hAnsi="Georgia"/>
                <w:color w:val="C49A5A"/>
                <w:sz w:val="60"/>
              </w:rPr>
              <w:t>“</w:t>
            </w:r>
          </w:p>
          <w:p w14:paraId="4C2FAE62" w14:textId="77777777" w:rsidR="00412FB9" w:rsidRDefault="00000000">
            <w:pPr>
              <w:spacing w:after="120" w:line="252" w:lineRule="auto"/>
            </w:pPr>
            <w:r>
              <w:rPr>
                <w:rFonts w:ascii="Georgia" w:hAnsi="Georgia"/>
                <w:i/>
                <w:color w:val="FFFFFF"/>
                <w:sz w:val="22"/>
              </w:rPr>
              <w:t>This study visit represents a valuable opportunity to learn from the experience of the Municipality of Lezhë and to discuss concrete ways of adapting successful practices within the Municipality of Roskovec.</w:t>
            </w:r>
          </w:p>
          <w:p w14:paraId="5C41CB21" w14:textId="77777777" w:rsidR="00412FB9" w:rsidRDefault="00000000">
            <w:pPr>
              <w:spacing w:after="0"/>
            </w:pPr>
            <w:r>
              <w:rPr>
                <w:b/>
                <w:color w:val="C49A5A"/>
                <w:sz w:val="16"/>
              </w:rPr>
              <w:t>MAJLINDA BUFI  •  MAYOR OF ROSKOVEC</w:t>
            </w:r>
          </w:p>
        </w:tc>
        <w:tc>
          <w:tcPr>
            <w:tcW w:w="5162" w:type="dxa"/>
            <w:tcBorders>
              <w:top w:val="nil"/>
              <w:left w:val="nil"/>
              <w:bottom w:val="nil"/>
              <w:right w:val="nil"/>
            </w:tcBorders>
            <w:shd w:val="clear" w:color="auto" w:fill="EAF1F5"/>
            <w:tcMar>
              <w:top w:w="120" w:type="dxa"/>
              <w:left w:w="140" w:type="dxa"/>
              <w:bottom w:w="120" w:type="dxa"/>
              <w:right w:w="140" w:type="dxa"/>
            </w:tcMar>
          </w:tcPr>
          <w:p w14:paraId="631A8F8C" w14:textId="77777777" w:rsidR="00412FB9" w:rsidRDefault="00000000">
            <w:pPr>
              <w:spacing w:after="0"/>
              <w:jc w:val="center"/>
            </w:pPr>
            <w:r>
              <w:rPr>
                <w:noProof/>
              </w:rPr>
              <w:drawing>
                <wp:inline distT="0" distB="0" distL="0" distR="0" wp14:anchorId="2BE5951A" wp14:editId="2195CFCD">
                  <wp:extent cx="2057400" cy="154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2"/>
                          <a:stretch>
                            <a:fillRect/>
                          </a:stretch>
                        </pic:blipFill>
                        <pic:spPr>
                          <a:xfrm>
                            <a:off x="0" y="0"/>
                            <a:ext cx="2057400" cy="1544400"/>
                          </a:xfrm>
                          <a:prstGeom prst="rect">
                            <a:avLst/>
                          </a:prstGeom>
                        </pic:spPr>
                      </pic:pic>
                    </a:graphicData>
                  </a:graphic>
                </wp:inline>
              </w:drawing>
            </w:r>
          </w:p>
        </w:tc>
      </w:tr>
    </w:tbl>
    <w:p w14:paraId="19AA2071" w14:textId="77777777" w:rsidR="00412FB9" w:rsidRDefault="00000000">
      <w:pPr>
        <w:keepNext/>
        <w:spacing w:before="40"/>
      </w:pPr>
      <w:r>
        <w:rPr>
          <w:rFonts w:ascii="Aptos Display" w:hAnsi="Aptos Display"/>
          <w:b/>
          <w:color w:val="17324D"/>
          <w:sz w:val="30"/>
        </w:rPr>
        <w:t>Areas of Learning and Exchange</w:t>
      </w:r>
    </w:p>
    <w:tbl>
      <w:tblPr>
        <w:tblW w:w="0" w:type="auto"/>
        <w:jc w:val="center"/>
        <w:tblLayout w:type="fixed"/>
        <w:tblLook w:val="04A0" w:firstRow="1" w:lastRow="0" w:firstColumn="1" w:lastColumn="0" w:noHBand="0" w:noVBand="1"/>
      </w:tblPr>
      <w:tblGrid>
        <w:gridCol w:w="3442"/>
        <w:gridCol w:w="3442"/>
        <w:gridCol w:w="3442"/>
      </w:tblGrid>
      <w:tr w:rsidR="00412FB9" w14:paraId="7501A058" w14:textId="77777777">
        <w:trPr>
          <w:jc w:val="center"/>
        </w:trPr>
        <w:tc>
          <w:tcPr>
            <w:tcW w:w="3442" w:type="dxa"/>
            <w:tcBorders>
              <w:top w:val="single" w:sz="5" w:space="0" w:color="D5DEE3"/>
              <w:left w:val="single" w:sz="5" w:space="0" w:color="D5DEE3"/>
              <w:bottom w:val="single" w:sz="5" w:space="0" w:color="D5DEE3"/>
              <w:right w:val="single" w:sz="5" w:space="0" w:color="D5DEE3"/>
            </w:tcBorders>
            <w:shd w:val="clear" w:color="auto" w:fill="EAF1F5"/>
            <w:tcMar>
              <w:top w:w="85" w:type="dxa"/>
              <w:left w:w="100" w:type="dxa"/>
              <w:bottom w:w="85" w:type="dxa"/>
              <w:right w:w="100" w:type="dxa"/>
            </w:tcMar>
          </w:tcPr>
          <w:p w14:paraId="2EAB4E84" w14:textId="77777777" w:rsidR="00412FB9" w:rsidRDefault="00000000">
            <w:pPr>
              <w:spacing w:after="60"/>
            </w:pPr>
            <w:r>
              <w:rPr>
                <w:b/>
                <w:color w:val="8B2E3B"/>
                <w:sz w:val="17"/>
              </w:rPr>
              <w:t>LOCAL GOVERNANCE</w:t>
            </w:r>
          </w:p>
          <w:p w14:paraId="7CEFF205" w14:textId="77777777" w:rsidR="00412FB9" w:rsidRDefault="00000000">
            <w:pPr>
              <w:spacing w:after="0"/>
            </w:pPr>
            <w:r>
              <w:rPr>
                <w:color w:val="263238"/>
                <w:sz w:val="16"/>
              </w:rPr>
              <w:t>Administrative practices and institutional capacity</w:t>
            </w:r>
          </w:p>
        </w:tc>
        <w:tc>
          <w:tcPr>
            <w:tcW w:w="3442" w:type="dxa"/>
            <w:tcBorders>
              <w:top w:val="single" w:sz="5" w:space="0" w:color="D5DEE3"/>
              <w:left w:val="single" w:sz="5" w:space="0" w:color="D5DEE3"/>
              <w:bottom w:val="single" w:sz="5" w:space="0" w:color="D5DEE3"/>
              <w:right w:val="single" w:sz="5" w:space="0" w:color="D5DEE3"/>
            </w:tcBorders>
            <w:shd w:val="clear" w:color="auto" w:fill="F5F7F8"/>
            <w:tcMar>
              <w:top w:w="85" w:type="dxa"/>
              <w:left w:w="100" w:type="dxa"/>
              <w:bottom w:w="85" w:type="dxa"/>
              <w:right w:w="100" w:type="dxa"/>
            </w:tcMar>
          </w:tcPr>
          <w:p w14:paraId="1C24A261" w14:textId="77777777" w:rsidR="00412FB9" w:rsidRDefault="00000000">
            <w:pPr>
              <w:spacing w:after="60"/>
            </w:pPr>
            <w:r>
              <w:rPr>
                <w:b/>
                <w:color w:val="8B2E3B"/>
                <w:sz w:val="17"/>
              </w:rPr>
              <w:t>PUBLIC SERVICES</w:t>
            </w:r>
          </w:p>
          <w:p w14:paraId="447620C1" w14:textId="77777777" w:rsidR="00412FB9" w:rsidRDefault="00000000">
            <w:pPr>
              <w:spacing w:after="0"/>
            </w:pPr>
            <w:r>
              <w:rPr>
                <w:color w:val="263238"/>
                <w:sz w:val="16"/>
              </w:rPr>
              <w:t>Citizen-oriented delivery and service quality</w:t>
            </w:r>
          </w:p>
        </w:tc>
        <w:tc>
          <w:tcPr>
            <w:tcW w:w="3442" w:type="dxa"/>
            <w:tcBorders>
              <w:top w:val="single" w:sz="5" w:space="0" w:color="D5DEE3"/>
              <w:left w:val="single" w:sz="5" w:space="0" w:color="D5DEE3"/>
              <w:bottom w:val="single" w:sz="5" w:space="0" w:color="D5DEE3"/>
              <w:right w:val="single" w:sz="5" w:space="0" w:color="D5DEE3"/>
            </w:tcBorders>
            <w:shd w:val="clear" w:color="auto" w:fill="EAF1F5"/>
            <w:tcMar>
              <w:top w:w="85" w:type="dxa"/>
              <w:left w:w="100" w:type="dxa"/>
              <w:bottom w:w="85" w:type="dxa"/>
              <w:right w:w="100" w:type="dxa"/>
            </w:tcMar>
          </w:tcPr>
          <w:p w14:paraId="02D36AD4" w14:textId="77777777" w:rsidR="00412FB9" w:rsidRDefault="00000000">
            <w:pPr>
              <w:spacing w:after="60"/>
            </w:pPr>
            <w:r>
              <w:rPr>
                <w:b/>
                <w:color w:val="8B2E3B"/>
                <w:sz w:val="17"/>
              </w:rPr>
              <w:t>TERRITORIAL DEVELOPMENT</w:t>
            </w:r>
          </w:p>
          <w:p w14:paraId="03B5EAE9" w14:textId="77777777" w:rsidR="00412FB9" w:rsidRDefault="00000000">
            <w:pPr>
              <w:spacing w:after="0"/>
            </w:pPr>
            <w:r>
              <w:rPr>
                <w:color w:val="263238"/>
                <w:sz w:val="16"/>
              </w:rPr>
              <w:t>Planning, tourism and local potential</w:t>
            </w:r>
          </w:p>
        </w:tc>
      </w:tr>
      <w:tr w:rsidR="00412FB9" w14:paraId="3B50EBD7" w14:textId="77777777">
        <w:trPr>
          <w:jc w:val="center"/>
        </w:trPr>
        <w:tc>
          <w:tcPr>
            <w:tcW w:w="3442" w:type="dxa"/>
            <w:tcBorders>
              <w:top w:val="single" w:sz="5" w:space="0" w:color="D5DEE3"/>
              <w:left w:val="single" w:sz="5" w:space="0" w:color="D5DEE3"/>
              <w:bottom w:val="single" w:sz="5" w:space="0" w:color="D5DEE3"/>
              <w:right w:val="single" w:sz="5" w:space="0" w:color="D5DEE3"/>
            </w:tcBorders>
            <w:shd w:val="clear" w:color="auto" w:fill="F5F7F8"/>
            <w:tcMar>
              <w:top w:w="85" w:type="dxa"/>
              <w:left w:w="100" w:type="dxa"/>
              <w:bottom w:w="85" w:type="dxa"/>
              <w:right w:w="100" w:type="dxa"/>
            </w:tcMar>
          </w:tcPr>
          <w:p w14:paraId="5A714D8A" w14:textId="77777777" w:rsidR="00412FB9" w:rsidRDefault="00000000">
            <w:pPr>
              <w:spacing w:after="60"/>
            </w:pPr>
            <w:r>
              <w:rPr>
                <w:b/>
                <w:color w:val="8B2E3B"/>
                <w:sz w:val="17"/>
              </w:rPr>
              <w:t>ENVIRONMENT</w:t>
            </w:r>
          </w:p>
          <w:p w14:paraId="47B88252" w14:textId="77777777" w:rsidR="00412FB9" w:rsidRDefault="00000000">
            <w:pPr>
              <w:spacing w:after="0"/>
            </w:pPr>
            <w:r>
              <w:rPr>
                <w:color w:val="263238"/>
                <w:sz w:val="16"/>
              </w:rPr>
              <w:t>Sustainable management and shared challenges</w:t>
            </w:r>
          </w:p>
        </w:tc>
        <w:tc>
          <w:tcPr>
            <w:tcW w:w="3442" w:type="dxa"/>
            <w:tcBorders>
              <w:top w:val="single" w:sz="5" w:space="0" w:color="D5DEE3"/>
              <w:left w:val="single" w:sz="5" w:space="0" w:color="D5DEE3"/>
              <w:bottom w:val="single" w:sz="5" w:space="0" w:color="D5DEE3"/>
              <w:right w:val="single" w:sz="5" w:space="0" w:color="D5DEE3"/>
            </w:tcBorders>
            <w:shd w:val="clear" w:color="auto" w:fill="EAF1F5"/>
            <w:tcMar>
              <w:top w:w="85" w:type="dxa"/>
              <w:left w:w="100" w:type="dxa"/>
              <w:bottom w:w="85" w:type="dxa"/>
              <w:right w:w="100" w:type="dxa"/>
            </w:tcMar>
          </w:tcPr>
          <w:p w14:paraId="0C6C5FCE" w14:textId="77777777" w:rsidR="00412FB9" w:rsidRDefault="00000000">
            <w:pPr>
              <w:spacing w:after="60"/>
            </w:pPr>
            <w:r>
              <w:rPr>
                <w:b/>
                <w:color w:val="8B2E3B"/>
                <w:sz w:val="17"/>
              </w:rPr>
              <w:t>COMMUNICATION</w:t>
            </w:r>
          </w:p>
          <w:p w14:paraId="34A41769" w14:textId="77777777" w:rsidR="00412FB9" w:rsidRDefault="00000000">
            <w:pPr>
              <w:spacing w:after="0"/>
            </w:pPr>
            <w:r>
              <w:rPr>
                <w:color w:val="263238"/>
                <w:sz w:val="16"/>
              </w:rPr>
              <w:t>Transparency, public information and outreach</w:t>
            </w:r>
          </w:p>
        </w:tc>
        <w:tc>
          <w:tcPr>
            <w:tcW w:w="3442" w:type="dxa"/>
            <w:tcBorders>
              <w:top w:val="single" w:sz="5" w:space="0" w:color="D5DEE3"/>
              <w:left w:val="single" w:sz="5" w:space="0" w:color="D5DEE3"/>
              <w:bottom w:val="single" w:sz="5" w:space="0" w:color="D5DEE3"/>
              <w:right w:val="single" w:sz="5" w:space="0" w:color="D5DEE3"/>
            </w:tcBorders>
            <w:shd w:val="clear" w:color="auto" w:fill="F5F7F8"/>
            <w:tcMar>
              <w:top w:w="85" w:type="dxa"/>
              <w:left w:w="100" w:type="dxa"/>
              <w:bottom w:w="85" w:type="dxa"/>
              <w:right w:w="100" w:type="dxa"/>
            </w:tcMar>
          </w:tcPr>
          <w:p w14:paraId="1622EC1E" w14:textId="77777777" w:rsidR="00412FB9" w:rsidRDefault="00000000">
            <w:pPr>
              <w:spacing w:after="60"/>
            </w:pPr>
            <w:r>
              <w:rPr>
                <w:b/>
                <w:color w:val="8B2E3B"/>
                <w:sz w:val="17"/>
              </w:rPr>
              <w:t>PROJECTS</w:t>
            </w:r>
          </w:p>
          <w:p w14:paraId="54C8EDA0" w14:textId="77777777" w:rsidR="00412FB9" w:rsidRDefault="00000000">
            <w:pPr>
              <w:spacing w:after="0"/>
            </w:pPr>
            <w:r>
              <w:rPr>
                <w:color w:val="263238"/>
                <w:sz w:val="16"/>
              </w:rPr>
              <w:t>Strategic initiatives and project management</w:t>
            </w:r>
          </w:p>
        </w:tc>
      </w:tr>
    </w:tbl>
    <w:p w14:paraId="2A747358" w14:textId="77777777" w:rsidR="00F97DC9" w:rsidRDefault="00F97DC9">
      <w:pPr>
        <w:spacing w:line="259" w:lineRule="auto"/>
        <w:jc w:val="both"/>
        <w:rPr>
          <w:color w:val="263238"/>
          <w:sz w:val="18"/>
        </w:rPr>
      </w:pPr>
    </w:p>
    <w:p w14:paraId="5079C172" w14:textId="77777777" w:rsidR="00412FB9" w:rsidRPr="00F97DC9" w:rsidRDefault="00000000">
      <w:pPr>
        <w:spacing w:before="40" w:after="60" w:line="240" w:lineRule="auto"/>
        <w:jc w:val="both"/>
        <w:rPr>
          <w:rFonts w:ascii="Georgia" w:hAnsi="Georgia"/>
        </w:rPr>
      </w:pPr>
      <w:r>
        <w:rPr>
          <w:sz w:val="17"/>
        </w:rPr>
        <w:t>The Municipality of Lezhë presented its practices and initiatives through the municipal staff responsible for each thematic area. Mayor Pjerin Ndreu complemented the presentations by highlighting the municipality’s key achievements, lessons learned, and the most relevant features of each good practice. The discussions enabled participants to compare administrative approaches, identify shared challenges, and explore practical opportunities for future cooperation.</w:t>
      </w:r>
    </w:p>
    <w:p w14:paraId="69FF2161" w14:textId="77777777" w:rsidR="00F97DC9" w:rsidRDefault="00F97DC9">
      <w:pPr>
        <w:spacing w:before="40" w:after="60" w:line="240" w:lineRule="auto"/>
        <w:jc w:val="both"/>
      </w:pPr>
      <w:r>
        <w:rPr>
          <w:sz w:val="17"/>
        </w:rPr>
        <w:t>Mayor Ndreu also guided the delegation through the renovated Palace of Culture and its modern facilities, highlighting the dedicated spaces that support Lezhë’s artists, singers, dancers, writers, painters, and the wider creative community. The delegation also visited the newly renovated Municipal Council Chamber, which offers a modern and functional setting for council meetings, institutional dialogue, and transparent local decision-making.</w:t>
      </w:r>
    </w:p>
    <w:tbl>
      <w:tblPr>
        <w:tblW w:w="0" w:type="auto"/>
        <w:jc w:val="center"/>
        <w:tblLook w:val="04A0" w:firstRow="1" w:lastRow="0" w:firstColumn="1" w:lastColumn="0" w:noHBand="0" w:noVBand="1"/>
      </w:tblPr>
      <w:tblGrid>
        <w:gridCol w:w="3441"/>
        <w:gridCol w:w="3442"/>
        <w:gridCol w:w="3442"/>
      </w:tblGrid>
      <w:tr w:rsidR="00412FB9" w14:paraId="554B94B1" w14:textId="77777777">
        <w:trPr>
          <w:trHeight w:hRule="exact" w:val="2160"/>
          <w:jc w:val="center"/>
        </w:trPr>
        <w:tc>
          <w:tcPr>
            <w:tcW w:w="3442" w:type="dxa"/>
            <w:tcBorders>
              <w:top w:val="nil"/>
              <w:left w:val="nil"/>
              <w:bottom w:val="nil"/>
              <w:right w:val="nil"/>
            </w:tcBorders>
            <w:tcMar>
              <w:top w:w="20" w:type="dxa"/>
              <w:left w:w="20" w:type="dxa"/>
              <w:bottom w:w="20" w:type="dxa"/>
              <w:right w:w="20" w:type="dxa"/>
            </w:tcMar>
            <w:vAlign w:val="center"/>
          </w:tcPr>
          <w:p w14:paraId="7BB086D0" w14:textId="77777777" w:rsidR="00412FB9" w:rsidRDefault="00000000">
            <w:pPr>
              <w:spacing w:after="0"/>
              <w:jc w:val="center"/>
            </w:pPr>
            <w:r>
              <w:rPr>
                <w:noProof/>
              </w:rPr>
              <w:drawing>
                <wp:inline distT="0" distB="0" distL="0" distR="0" wp14:anchorId="0B51BEA6" wp14:editId="5A0B8B3E">
                  <wp:extent cx="1984248" cy="1335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13"/>
                          <a:stretch>
                            <a:fillRect/>
                          </a:stretch>
                        </pic:blipFill>
                        <pic:spPr>
                          <a:xfrm>
                            <a:off x="0" y="0"/>
                            <a:ext cx="1984248" cy="1335024"/>
                          </a:xfrm>
                          <a:prstGeom prst="rect">
                            <a:avLst/>
                          </a:prstGeom>
                        </pic:spPr>
                      </pic:pic>
                    </a:graphicData>
                  </a:graphic>
                </wp:inline>
              </w:drawing>
            </w:r>
          </w:p>
        </w:tc>
        <w:tc>
          <w:tcPr>
            <w:tcW w:w="3442" w:type="dxa"/>
            <w:tcBorders>
              <w:top w:val="nil"/>
              <w:left w:val="nil"/>
              <w:bottom w:val="nil"/>
              <w:right w:val="nil"/>
            </w:tcBorders>
            <w:tcMar>
              <w:top w:w="20" w:type="dxa"/>
              <w:left w:w="20" w:type="dxa"/>
              <w:bottom w:w="20" w:type="dxa"/>
              <w:right w:w="20" w:type="dxa"/>
            </w:tcMar>
            <w:vAlign w:val="center"/>
          </w:tcPr>
          <w:p w14:paraId="3E30CE14" w14:textId="77777777" w:rsidR="00412FB9" w:rsidRDefault="00000000">
            <w:pPr>
              <w:spacing w:after="0"/>
              <w:jc w:val="center"/>
            </w:pPr>
            <w:r>
              <w:rPr>
                <w:noProof/>
              </w:rPr>
              <w:drawing>
                <wp:inline distT="0" distB="0" distL="0" distR="0" wp14:anchorId="07E9B86C" wp14:editId="2C54B41E">
                  <wp:extent cx="1984248" cy="13350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14"/>
                          <a:stretch>
                            <a:fillRect/>
                          </a:stretch>
                        </pic:blipFill>
                        <pic:spPr>
                          <a:xfrm>
                            <a:off x="0" y="0"/>
                            <a:ext cx="1984248" cy="1335024"/>
                          </a:xfrm>
                          <a:prstGeom prst="rect">
                            <a:avLst/>
                          </a:prstGeom>
                        </pic:spPr>
                      </pic:pic>
                    </a:graphicData>
                  </a:graphic>
                </wp:inline>
              </w:drawing>
            </w:r>
          </w:p>
        </w:tc>
        <w:tc>
          <w:tcPr>
            <w:tcW w:w="3442" w:type="dxa"/>
            <w:tcBorders>
              <w:top w:val="nil"/>
              <w:left w:val="nil"/>
              <w:bottom w:val="nil"/>
              <w:right w:val="nil"/>
            </w:tcBorders>
            <w:tcMar>
              <w:top w:w="20" w:type="dxa"/>
              <w:left w:w="20" w:type="dxa"/>
              <w:bottom w:w="20" w:type="dxa"/>
              <w:right w:w="20" w:type="dxa"/>
            </w:tcMar>
            <w:vAlign w:val="center"/>
          </w:tcPr>
          <w:p w14:paraId="715E9A1F" w14:textId="77777777" w:rsidR="00412FB9" w:rsidRDefault="00000000">
            <w:pPr>
              <w:spacing w:after="0"/>
              <w:jc w:val="center"/>
            </w:pPr>
            <w:r>
              <w:rPr>
                <w:noProof/>
              </w:rPr>
              <w:drawing>
                <wp:inline distT="0" distB="0" distL="0" distR="0" wp14:anchorId="488EB52B" wp14:editId="25C91D65">
                  <wp:extent cx="1984248" cy="13350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15"/>
                          <a:stretch>
                            <a:fillRect/>
                          </a:stretch>
                        </pic:blipFill>
                        <pic:spPr>
                          <a:xfrm>
                            <a:off x="0" y="0"/>
                            <a:ext cx="1984248" cy="1335024"/>
                          </a:xfrm>
                          <a:prstGeom prst="rect">
                            <a:avLst/>
                          </a:prstGeom>
                        </pic:spPr>
                      </pic:pic>
                    </a:graphicData>
                  </a:graphic>
                </wp:inline>
              </w:drawing>
            </w:r>
          </w:p>
        </w:tc>
      </w:tr>
    </w:tbl>
    <w:tbl>
      <w:tblPr>
        <w:tblW w:w="0" w:type="auto"/>
        <w:tblLayout w:type="fixed"/>
        <w:tblLook w:val="04A0" w:firstRow="1" w:lastRow="0" w:firstColumn="1" w:lastColumn="0" w:noHBand="0" w:noVBand="1"/>
      </w:tblPr>
      <w:tblGrid>
        <w:gridCol w:w="10325"/>
      </w:tblGrid>
      <w:tr w:rsidR="00412FB9" w14:paraId="01A2C619" w14:textId="77777777">
        <w:trPr>
          <w:trHeight w:hRule="exact" w:val="346"/>
        </w:trPr>
        <w:tc>
          <w:tcPr>
            <w:tcW w:w="10325" w:type="dxa"/>
            <w:tcBorders>
              <w:top w:val="nil"/>
              <w:left w:val="nil"/>
              <w:bottom w:val="nil"/>
              <w:right w:val="nil"/>
            </w:tcBorders>
            <w:shd w:val="clear" w:color="auto" w:fill="C49A5A"/>
            <w:tcMar>
              <w:top w:w="15" w:type="dxa"/>
              <w:left w:w="55" w:type="dxa"/>
              <w:bottom w:w="15" w:type="dxa"/>
              <w:right w:w="55" w:type="dxa"/>
            </w:tcMar>
          </w:tcPr>
          <w:p w14:paraId="4F9426D6" w14:textId="77777777" w:rsidR="00412FB9" w:rsidRDefault="00000000">
            <w:pPr>
              <w:spacing w:after="0"/>
            </w:pPr>
            <w:r>
              <w:rPr>
                <w:b/>
                <w:color w:val="FFFFFF"/>
                <w:sz w:val="16"/>
              </w:rPr>
              <w:t>LEARNING ON SITE</w:t>
            </w:r>
          </w:p>
        </w:tc>
      </w:tr>
    </w:tbl>
    <w:p w14:paraId="5C966534" w14:textId="77777777" w:rsidR="00412FB9" w:rsidRDefault="00000000">
      <w:pPr>
        <w:keepNext/>
        <w:spacing w:before="60" w:after="100"/>
      </w:pPr>
      <w:r>
        <w:rPr>
          <w:rFonts w:ascii="Aptos Display" w:hAnsi="Aptos Display"/>
          <w:b/>
          <w:color w:val="17324D"/>
          <w:sz w:val="36"/>
        </w:rPr>
        <w:t>Culture, Heritage and Local Development in Practice</w:t>
      </w:r>
    </w:p>
    <w:p w14:paraId="10B5579B" w14:textId="77777777" w:rsidR="00412FB9" w:rsidRDefault="00F97DC9">
      <w:pPr>
        <w:spacing w:after="140" w:line="250" w:lineRule="auto"/>
        <w:jc w:val="both"/>
      </w:pPr>
      <w:r>
        <w:rPr>
          <w:sz w:val="18"/>
        </w:rPr>
        <w:t>As part of the cultural programme, Deputy Mayor of Lezhë Mr Fatjon Zefi and Mr Paulin Zefi, the municipal official responsible for cultural monuments, accompanied the delegation to several of Lezhë’s most significant heritage and natural sites. The programme included visits to the Skanderbeg Memorial, the newly established Ethnographic Museum, and the scenic lagoon areas, offering valuable insight into the municipality’s history, cultural identity, and natural landscape.</w:t>
      </w:r>
    </w:p>
    <w:tbl>
      <w:tblPr>
        <w:tblW w:w="0" w:type="auto"/>
        <w:jc w:val="center"/>
        <w:tblLayout w:type="fixed"/>
        <w:tblLook w:val="04A0" w:firstRow="1" w:lastRow="0" w:firstColumn="1" w:lastColumn="0" w:noHBand="0" w:noVBand="1"/>
      </w:tblPr>
      <w:tblGrid>
        <w:gridCol w:w="5162"/>
        <w:gridCol w:w="5162"/>
      </w:tblGrid>
      <w:tr w:rsidR="00412FB9" w14:paraId="7C5C1E97" w14:textId="77777777">
        <w:trPr>
          <w:trHeight w:hRule="exact" w:val="3254"/>
          <w:jc w:val="center"/>
        </w:trPr>
        <w:tc>
          <w:tcPr>
            <w:tcW w:w="5162" w:type="dxa"/>
            <w:tcBorders>
              <w:top w:val="nil"/>
              <w:left w:val="nil"/>
              <w:bottom w:val="nil"/>
              <w:right w:val="nil"/>
            </w:tcBorders>
            <w:tcMar>
              <w:top w:w="25" w:type="dxa"/>
              <w:left w:w="30" w:type="dxa"/>
              <w:bottom w:w="25" w:type="dxa"/>
              <w:right w:w="30" w:type="dxa"/>
            </w:tcMar>
            <w:vAlign w:val="center"/>
          </w:tcPr>
          <w:p w14:paraId="17EEA0D7" w14:textId="77777777" w:rsidR="00412FB9" w:rsidRDefault="00000000">
            <w:pPr>
              <w:spacing w:after="0"/>
              <w:jc w:val="center"/>
            </w:pPr>
            <w:r>
              <w:rPr>
                <w:noProof/>
              </w:rPr>
              <w:lastRenderedPageBreak/>
              <w:drawing>
                <wp:inline distT="0" distB="0" distL="0" distR="0" wp14:anchorId="2F797F50" wp14:editId="6315EECF">
                  <wp:extent cx="2889504" cy="2011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16"/>
                          <a:stretch>
                            <a:fillRect/>
                          </a:stretch>
                        </pic:blipFill>
                        <pic:spPr>
                          <a:xfrm>
                            <a:off x="0" y="0"/>
                            <a:ext cx="2889504" cy="2011680"/>
                          </a:xfrm>
                          <a:prstGeom prst="rect">
                            <a:avLst/>
                          </a:prstGeom>
                        </pic:spPr>
                      </pic:pic>
                    </a:graphicData>
                  </a:graphic>
                </wp:inline>
              </w:drawing>
            </w:r>
          </w:p>
        </w:tc>
        <w:tc>
          <w:tcPr>
            <w:tcW w:w="5162" w:type="dxa"/>
            <w:tcBorders>
              <w:top w:val="nil"/>
              <w:left w:val="nil"/>
              <w:bottom w:val="nil"/>
              <w:right w:val="nil"/>
            </w:tcBorders>
            <w:tcMar>
              <w:top w:w="25" w:type="dxa"/>
              <w:left w:w="30" w:type="dxa"/>
              <w:bottom w:w="25" w:type="dxa"/>
              <w:right w:w="30" w:type="dxa"/>
            </w:tcMar>
            <w:vAlign w:val="center"/>
          </w:tcPr>
          <w:p w14:paraId="389D0F2E" w14:textId="77777777" w:rsidR="00412FB9" w:rsidRDefault="00000000">
            <w:pPr>
              <w:spacing w:after="0"/>
              <w:jc w:val="center"/>
            </w:pPr>
            <w:r>
              <w:rPr>
                <w:noProof/>
              </w:rPr>
              <w:drawing>
                <wp:inline distT="0" distB="0" distL="0" distR="0" wp14:anchorId="5B7777BB" wp14:editId="1139166E">
                  <wp:extent cx="2889504" cy="2011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jpg"/>
                          <pic:cNvPicPr/>
                        </pic:nvPicPr>
                        <pic:blipFill>
                          <a:blip r:embed="rId17"/>
                          <a:stretch>
                            <a:fillRect/>
                          </a:stretch>
                        </pic:blipFill>
                        <pic:spPr>
                          <a:xfrm>
                            <a:off x="0" y="0"/>
                            <a:ext cx="2889504" cy="2011680"/>
                          </a:xfrm>
                          <a:prstGeom prst="rect">
                            <a:avLst/>
                          </a:prstGeom>
                        </pic:spPr>
                      </pic:pic>
                    </a:graphicData>
                  </a:graphic>
                </wp:inline>
              </w:drawing>
            </w:r>
          </w:p>
        </w:tc>
      </w:tr>
      <w:tr w:rsidR="00412FB9" w14:paraId="7B7EF7FF" w14:textId="77777777">
        <w:trPr>
          <w:trHeight w:hRule="exact" w:val="3254"/>
          <w:jc w:val="center"/>
        </w:trPr>
        <w:tc>
          <w:tcPr>
            <w:tcW w:w="5162" w:type="dxa"/>
            <w:tcBorders>
              <w:top w:val="nil"/>
              <w:left w:val="nil"/>
              <w:bottom w:val="nil"/>
              <w:right w:val="nil"/>
            </w:tcBorders>
            <w:tcMar>
              <w:top w:w="25" w:type="dxa"/>
              <w:left w:w="30" w:type="dxa"/>
              <w:bottom w:w="25" w:type="dxa"/>
              <w:right w:w="30" w:type="dxa"/>
            </w:tcMar>
            <w:vAlign w:val="center"/>
          </w:tcPr>
          <w:p w14:paraId="750E809C" w14:textId="77777777" w:rsidR="00412FB9" w:rsidRDefault="00000000">
            <w:pPr>
              <w:spacing w:after="0"/>
              <w:jc w:val="center"/>
            </w:pPr>
            <w:r>
              <w:rPr>
                <w:noProof/>
              </w:rPr>
              <w:drawing>
                <wp:inline distT="0" distB="0" distL="0" distR="0" wp14:anchorId="561E371A" wp14:editId="6034C2AD">
                  <wp:extent cx="2889504" cy="2011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8"/>
                          <a:stretch>
                            <a:fillRect/>
                          </a:stretch>
                        </pic:blipFill>
                        <pic:spPr>
                          <a:xfrm>
                            <a:off x="0" y="0"/>
                            <a:ext cx="2889504" cy="2011680"/>
                          </a:xfrm>
                          <a:prstGeom prst="rect">
                            <a:avLst/>
                          </a:prstGeom>
                        </pic:spPr>
                      </pic:pic>
                    </a:graphicData>
                  </a:graphic>
                </wp:inline>
              </w:drawing>
            </w:r>
          </w:p>
        </w:tc>
        <w:tc>
          <w:tcPr>
            <w:tcW w:w="5162" w:type="dxa"/>
            <w:tcBorders>
              <w:top w:val="nil"/>
              <w:left w:val="nil"/>
              <w:bottom w:val="nil"/>
              <w:right w:val="nil"/>
            </w:tcBorders>
            <w:tcMar>
              <w:top w:w="25" w:type="dxa"/>
              <w:left w:w="30" w:type="dxa"/>
              <w:bottom w:w="25" w:type="dxa"/>
              <w:right w:w="30" w:type="dxa"/>
            </w:tcMar>
            <w:vAlign w:val="center"/>
          </w:tcPr>
          <w:p w14:paraId="4868E751" w14:textId="77777777" w:rsidR="00412FB9" w:rsidRDefault="00000000">
            <w:pPr>
              <w:spacing w:after="0"/>
              <w:jc w:val="center"/>
            </w:pPr>
            <w:r>
              <w:rPr>
                <w:noProof/>
              </w:rPr>
              <w:drawing>
                <wp:inline distT="0" distB="0" distL="0" distR="0" wp14:anchorId="631D45B4" wp14:editId="750808F1">
                  <wp:extent cx="2889504" cy="201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jpg"/>
                          <pic:cNvPicPr/>
                        </pic:nvPicPr>
                        <pic:blipFill>
                          <a:blip r:embed="rId19"/>
                          <a:stretch>
                            <a:fillRect/>
                          </a:stretch>
                        </pic:blipFill>
                        <pic:spPr>
                          <a:xfrm>
                            <a:off x="0" y="0"/>
                            <a:ext cx="2889504" cy="2011680"/>
                          </a:xfrm>
                          <a:prstGeom prst="rect">
                            <a:avLst/>
                          </a:prstGeom>
                        </pic:spPr>
                      </pic:pic>
                    </a:graphicData>
                  </a:graphic>
                </wp:inline>
              </w:drawing>
            </w:r>
          </w:p>
        </w:tc>
      </w:tr>
    </w:tbl>
    <w:p w14:paraId="50FCEF37" w14:textId="77777777" w:rsidR="00412FB9" w:rsidRDefault="00000000">
      <w:pPr>
        <w:keepNext/>
        <w:spacing w:before="60" w:after="20"/>
      </w:pPr>
      <w:r>
        <w:rPr>
          <w:rFonts w:ascii="Aptos Display" w:hAnsi="Aptos Display"/>
          <w:b/>
          <w:color w:val="17324D"/>
          <w:sz w:val="30"/>
        </w:rPr>
        <w:t>Key Outcomes</w:t>
      </w:r>
    </w:p>
    <w:tbl>
      <w:tblPr>
        <w:tblW w:w="0" w:type="auto"/>
        <w:jc w:val="center"/>
        <w:tblLayout w:type="fixed"/>
        <w:tblLook w:val="04A0" w:firstRow="1" w:lastRow="0" w:firstColumn="1" w:lastColumn="0" w:noHBand="0" w:noVBand="1"/>
      </w:tblPr>
      <w:tblGrid>
        <w:gridCol w:w="3442"/>
        <w:gridCol w:w="3442"/>
        <w:gridCol w:w="3442"/>
      </w:tblGrid>
      <w:tr w:rsidR="00412FB9" w14:paraId="1A9465CF" w14:textId="77777777">
        <w:trPr>
          <w:trHeight w:val="1210"/>
          <w:jc w:val="center"/>
        </w:trPr>
        <w:tc>
          <w:tcPr>
            <w:tcW w:w="3442" w:type="dxa"/>
            <w:tcBorders>
              <w:top w:val="nil"/>
              <w:left w:val="nil"/>
              <w:bottom w:val="nil"/>
              <w:right w:val="nil"/>
            </w:tcBorders>
            <w:shd w:val="clear" w:color="auto" w:fill="EAF1F5"/>
            <w:tcMar>
              <w:top w:w="55" w:type="dxa"/>
              <w:left w:w="65" w:type="dxa"/>
              <w:bottom w:w="55" w:type="dxa"/>
              <w:right w:w="65" w:type="dxa"/>
            </w:tcMar>
            <w:vAlign w:val="center"/>
          </w:tcPr>
          <w:p w14:paraId="1271FB4F" w14:textId="77777777" w:rsidR="00412FB9" w:rsidRDefault="00000000">
            <w:pPr>
              <w:spacing w:after="20" w:line="240" w:lineRule="auto"/>
            </w:pPr>
            <w:r>
              <w:rPr>
                <w:rFonts w:ascii="Aptos Display" w:hAnsi="Aptos Display"/>
                <w:b/>
                <w:color w:val="8B2E3B"/>
                <w:sz w:val="18"/>
              </w:rPr>
              <w:t>01</w:t>
            </w:r>
          </w:p>
          <w:p w14:paraId="39C2AF83" w14:textId="77777777" w:rsidR="00412FB9" w:rsidRDefault="00000000">
            <w:pPr>
              <w:spacing w:after="20" w:line="240" w:lineRule="auto"/>
            </w:pPr>
            <w:r>
              <w:rPr>
                <w:b/>
                <w:color w:val="17324D"/>
                <w:sz w:val="15"/>
              </w:rPr>
              <w:t>KNOWLEDGE EXCHANGE</w:t>
            </w:r>
          </w:p>
          <w:p w14:paraId="7CD3F5B3" w14:textId="77777777" w:rsidR="00412FB9" w:rsidRDefault="00000000">
            <w:pPr>
              <w:spacing w:after="20" w:line="240" w:lineRule="auto"/>
            </w:pPr>
            <w:r>
              <w:rPr>
                <w:color w:val="263238"/>
                <w:sz w:val="16"/>
              </w:rPr>
              <w:t>A stronger understanding of workable municipal solutions and transferable practices.</w:t>
            </w:r>
          </w:p>
        </w:tc>
        <w:tc>
          <w:tcPr>
            <w:tcW w:w="3442" w:type="dxa"/>
            <w:tcBorders>
              <w:top w:val="nil"/>
              <w:left w:val="nil"/>
              <w:bottom w:val="nil"/>
              <w:right w:val="nil"/>
            </w:tcBorders>
            <w:shd w:val="clear" w:color="auto" w:fill="17324D"/>
            <w:tcMar>
              <w:top w:w="55" w:type="dxa"/>
              <w:left w:w="65" w:type="dxa"/>
              <w:bottom w:w="55" w:type="dxa"/>
              <w:right w:w="65" w:type="dxa"/>
            </w:tcMar>
            <w:vAlign w:val="center"/>
          </w:tcPr>
          <w:p w14:paraId="6A85CE4F" w14:textId="77777777" w:rsidR="00412FB9" w:rsidRDefault="00000000">
            <w:pPr>
              <w:spacing w:after="20" w:line="240" w:lineRule="auto"/>
            </w:pPr>
            <w:r>
              <w:rPr>
                <w:rFonts w:ascii="Aptos Display" w:hAnsi="Aptos Display"/>
                <w:b/>
                <w:color w:val="C49A5A"/>
                <w:sz w:val="18"/>
              </w:rPr>
              <w:t>02</w:t>
            </w:r>
          </w:p>
          <w:p w14:paraId="2A489753" w14:textId="77777777" w:rsidR="00412FB9" w:rsidRDefault="00000000">
            <w:pPr>
              <w:spacing w:after="20" w:line="240" w:lineRule="auto"/>
            </w:pPr>
            <w:r>
              <w:rPr>
                <w:b/>
                <w:color w:val="FFFFFF"/>
                <w:sz w:val="15"/>
              </w:rPr>
              <w:t>INSTITUTIONAL CAPACITY</w:t>
            </w:r>
          </w:p>
          <w:p w14:paraId="3DE210D6" w14:textId="77777777" w:rsidR="00412FB9" w:rsidRDefault="00000000">
            <w:pPr>
              <w:spacing w:after="20" w:line="240" w:lineRule="auto"/>
            </w:pPr>
            <w:r>
              <w:rPr>
                <w:color w:val="FFFFFF"/>
                <w:sz w:val="16"/>
              </w:rPr>
              <w:t>New ideas for improving governance, public services and project implementation.</w:t>
            </w:r>
          </w:p>
        </w:tc>
        <w:tc>
          <w:tcPr>
            <w:tcW w:w="3442" w:type="dxa"/>
            <w:tcBorders>
              <w:top w:val="nil"/>
              <w:left w:val="nil"/>
              <w:bottom w:val="nil"/>
              <w:right w:val="nil"/>
            </w:tcBorders>
            <w:shd w:val="clear" w:color="auto" w:fill="EAF1F5"/>
            <w:tcMar>
              <w:top w:w="55" w:type="dxa"/>
              <w:left w:w="65" w:type="dxa"/>
              <w:bottom w:w="55" w:type="dxa"/>
              <w:right w:w="65" w:type="dxa"/>
            </w:tcMar>
            <w:vAlign w:val="center"/>
          </w:tcPr>
          <w:p w14:paraId="24ACB8BC" w14:textId="77777777" w:rsidR="00412FB9" w:rsidRDefault="00000000">
            <w:pPr>
              <w:spacing w:after="20" w:line="240" w:lineRule="auto"/>
            </w:pPr>
            <w:r>
              <w:rPr>
                <w:rFonts w:ascii="Aptos Display" w:hAnsi="Aptos Display"/>
                <w:b/>
                <w:color w:val="8B2E3B"/>
                <w:sz w:val="18"/>
              </w:rPr>
              <w:t>03</w:t>
            </w:r>
          </w:p>
          <w:p w14:paraId="1137D9B8" w14:textId="77777777" w:rsidR="00412FB9" w:rsidRDefault="00000000">
            <w:pPr>
              <w:spacing w:after="20" w:line="240" w:lineRule="auto"/>
            </w:pPr>
            <w:r>
              <w:rPr>
                <w:b/>
                <w:color w:val="17324D"/>
                <w:sz w:val="15"/>
              </w:rPr>
              <w:t>FUTURE COOPERATION</w:t>
            </w:r>
          </w:p>
          <w:p w14:paraId="26A81E05" w14:textId="77777777" w:rsidR="00412FB9" w:rsidRDefault="00000000">
            <w:pPr>
              <w:spacing w:after="20" w:line="240" w:lineRule="auto"/>
            </w:pPr>
            <w:r>
              <w:rPr>
                <w:color w:val="263238"/>
                <w:sz w:val="16"/>
              </w:rPr>
              <w:t>A reinforced basis for continued inter-municipal dialogue and joint initiatives.</w:t>
            </w:r>
          </w:p>
        </w:tc>
      </w:tr>
    </w:tbl>
    <w:p w14:paraId="4A126E52" w14:textId="77777777" w:rsidR="00412FB9" w:rsidRDefault="00000000">
      <w:pPr>
        <w:keepNext/>
        <w:spacing w:before="60" w:after="20" w:line="228" w:lineRule="auto"/>
      </w:pPr>
      <w:r>
        <w:rPr>
          <w:rFonts w:ascii="Aptos Display" w:hAnsi="Aptos Display"/>
          <w:b/>
          <w:color w:val="17324D"/>
          <w:sz w:val="30"/>
        </w:rPr>
        <w:t>A Platform for Continued Partnership</w:t>
      </w:r>
    </w:p>
    <w:p w14:paraId="401F1B80" w14:textId="77777777" w:rsidR="00412FB9" w:rsidRDefault="00000000">
      <w:pPr>
        <w:spacing w:after="60" w:line="245" w:lineRule="auto"/>
        <w:jc w:val="both"/>
      </w:pPr>
      <w:r>
        <w:rPr>
          <w:color w:val="263238"/>
          <w:sz w:val="16"/>
        </w:rPr>
        <w:t>The study visit served as an effective platform for exchanging knowledge and experience between the two municipalities. It contributed to stronger institutional capacities and closer inter-municipal cooperation, in line with the principles of good governance and European standards of public administration.</w:t>
      </w:r>
    </w:p>
    <w:p w14:paraId="046EE3EE" w14:textId="77777777" w:rsidR="00961BDF" w:rsidRDefault="00000000">
      <w:pPr>
        <w:keepNext/>
        <w:spacing w:before="60" w:after="20"/>
      </w:pPr>
      <w:r>
        <w:rPr>
          <w:rFonts w:ascii="Arial" w:hAnsi="Arial"/>
          <w:b/>
          <w:color w:val="1B3953"/>
          <w:sz w:val="27"/>
        </w:rPr>
        <w:t>Activity Visibility and Media Coverage</w:t>
      </w:r>
    </w:p>
    <w:p w14:paraId="2D2AE08D" w14:textId="77777777" w:rsidR="00961BDF" w:rsidRDefault="00000000">
      <w:pPr>
        <w:shd w:val="clear" w:color="auto" w:fill="F2F5F7"/>
        <w:spacing w:after="20" w:line="240" w:lineRule="auto"/>
        <w:ind w:left="115" w:right="115"/>
      </w:pPr>
      <w:r>
        <w:rPr>
          <w:rFonts w:ascii="Arial" w:hAnsi="Arial"/>
          <w:b/>
          <w:color w:val="9C2F41"/>
          <w:sz w:val="13"/>
        </w:rPr>
        <w:t xml:space="preserve">Online media: </w:t>
      </w:r>
      <w:hyperlink r:id="rId20">
        <w:r w:rsidR="00961BDF">
          <w:rPr>
            <w:color w:val="1F4E79"/>
            <w:sz w:val="13"/>
          </w:rPr>
          <w:t>Official website</w:t>
        </w:r>
      </w:hyperlink>
      <w:r>
        <w:rPr>
          <w:rFonts w:ascii="Arial" w:hAnsi="Arial"/>
          <w:color w:val="9C2F41"/>
          <w:sz w:val="13"/>
        </w:rPr>
        <w:t xml:space="preserve">  •  </w:t>
      </w:r>
      <w:hyperlink r:id="rId21">
        <w:r w:rsidR="00961BDF">
          <w:rPr>
            <w:color w:val="1F4E79"/>
            <w:sz w:val="13"/>
          </w:rPr>
          <w:t>Hana Press</w:t>
        </w:r>
      </w:hyperlink>
      <w:r>
        <w:rPr>
          <w:rFonts w:ascii="Arial" w:hAnsi="Arial"/>
          <w:color w:val="9C2F41"/>
          <w:sz w:val="13"/>
        </w:rPr>
        <w:t xml:space="preserve">  •  </w:t>
      </w:r>
      <w:hyperlink r:id="rId22">
        <w:r w:rsidR="00961BDF">
          <w:rPr>
            <w:color w:val="1F4E79"/>
            <w:sz w:val="13"/>
          </w:rPr>
          <w:t>News Albania</w:t>
        </w:r>
      </w:hyperlink>
      <w:r>
        <w:rPr>
          <w:rFonts w:ascii="Arial" w:hAnsi="Arial"/>
          <w:color w:val="9C2F41"/>
          <w:sz w:val="13"/>
        </w:rPr>
        <w:t xml:space="preserve">  •  </w:t>
      </w:r>
      <w:hyperlink r:id="rId23">
        <w:r w:rsidR="00961BDF">
          <w:rPr>
            <w:color w:val="1F4E79"/>
            <w:sz w:val="13"/>
          </w:rPr>
          <w:t>Ministria e Lajmeve</w:t>
        </w:r>
      </w:hyperlink>
      <w:r>
        <w:rPr>
          <w:rFonts w:ascii="Arial" w:hAnsi="Arial"/>
          <w:color w:val="9C2F41"/>
          <w:sz w:val="13"/>
        </w:rPr>
        <w:t xml:space="preserve">  •  </w:t>
      </w:r>
      <w:hyperlink r:id="rId24">
        <w:r w:rsidR="00961BDF">
          <w:rPr>
            <w:color w:val="1F4E79"/>
            <w:sz w:val="13"/>
          </w:rPr>
          <w:t>Spektri TV</w:t>
        </w:r>
      </w:hyperlink>
      <w:r>
        <w:rPr>
          <w:rFonts w:ascii="Arial" w:hAnsi="Arial"/>
          <w:color w:val="9C2F41"/>
          <w:sz w:val="13"/>
        </w:rPr>
        <w:t xml:space="preserve">  •  </w:t>
      </w:r>
      <w:hyperlink r:id="rId25">
        <w:r w:rsidR="00961BDF">
          <w:rPr>
            <w:color w:val="1F4E79"/>
            <w:sz w:val="13"/>
          </w:rPr>
          <w:t>Alb-Spirit</w:t>
        </w:r>
      </w:hyperlink>
      <w:r>
        <w:t>|</w:t>
      </w:r>
      <w:r>
        <w:rPr>
          <w:rFonts w:ascii="Arial" w:hAnsi="Arial"/>
          <w:b/>
          <w:color w:val="9C2F41"/>
          <w:sz w:val="13"/>
        </w:rPr>
        <w:t xml:space="preserve">Social media and TV: </w:t>
      </w:r>
      <w:hyperlink r:id="rId26">
        <w:r w:rsidR="00961BDF">
          <w:rPr>
            <w:color w:val="1F4E79"/>
            <w:sz w:val="13"/>
          </w:rPr>
          <w:t>FB 1</w:t>
        </w:r>
      </w:hyperlink>
      <w:r>
        <w:rPr>
          <w:rFonts w:ascii="Arial" w:hAnsi="Arial"/>
          <w:color w:val="9C2F41"/>
          <w:sz w:val="13"/>
        </w:rPr>
        <w:t xml:space="preserve">  •  </w:t>
      </w:r>
      <w:hyperlink r:id="rId27">
        <w:r w:rsidR="00961BDF">
          <w:rPr>
            <w:color w:val="1F4E79"/>
            <w:sz w:val="13"/>
          </w:rPr>
          <w:t>FB 2</w:t>
        </w:r>
      </w:hyperlink>
      <w:r>
        <w:rPr>
          <w:rFonts w:ascii="Arial" w:hAnsi="Arial"/>
          <w:color w:val="9C2F41"/>
          <w:sz w:val="13"/>
        </w:rPr>
        <w:t xml:space="preserve">  •  </w:t>
      </w:r>
      <w:hyperlink r:id="rId28">
        <w:r w:rsidR="00961BDF">
          <w:rPr>
            <w:color w:val="1F4E79"/>
            <w:sz w:val="13"/>
          </w:rPr>
          <w:t>FB 3</w:t>
        </w:r>
      </w:hyperlink>
      <w:r>
        <w:rPr>
          <w:rFonts w:ascii="Arial" w:hAnsi="Arial"/>
          <w:color w:val="9C2F41"/>
          <w:sz w:val="13"/>
        </w:rPr>
        <w:t xml:space="preserve">  •  </w:t>
      </w:r>
      <w:hyperlink r:id="rId29">
        <w:r w:rsidR="00961BDF">
          <w:rPr>
            <w:color w:val="1F4E79"/>
            <w:sz w:val="13"/>
          </w:rPr>
          <w:t>FB 4</w:t>
        </w:r>
      </w:hyperlink>
      <w:r>
        <w:rPr>
          <w:rFonts w:ascii="Arial" w:hAnsi="Arial"/>
          <w:color w:val="9C2F41"/>
          <w:sz w:val="13"/>
        </w:rPr>
        <w:t xml:space="preserve">  •  </w:t>
      </w:r>
      <w:hyperlink r:id="rId30">
        <w:r w:rsidR="00961BDF">
          <w:rPr>
            <w:color w:val="1F4E79"/>
            <w:sz w:val="13"/>
          </w:rPr>
          <w:t>FB 5</w:t>
        </w:r>
      </w:hyperlink>
      <w:r>
        <w:rPr>
          <w:rFonts w:ascii="Arial" w:hAnsi="Arial"/>
          <w:color w:val="9C2F41"/>
          <w:sz w:val="13"/>
        </w:rPr>
        <w:t xml:space="preserve">  •  </w:t>
      </w:r>
      <w:hyperlink r:id="rId31">
        <w:r w:rsidR="00961BDF">
          <w:rPr>
            <w:color w:val="1F4E79"/>
            <w:sz w:val="13"/>
          </w:rPr>
          <w:t>FB 6</w:t>
        </w:r>
      </w:hyperlink>
      <w:r>
        <w:rPr>
          <w:rFonts w:ascii="Arial" w:hAnsi="Arial"/>
          <w:color w:val="9C2F41"/>
          <w:sz w:val="13"/>
        </w:rPr>
        <w:t xml:space="preserve">  •  </w:t>
      </w:r>
      <w:hyperlink r:id="rId32">
        <w:r w:rsidR="00961BDF">
          <w:rPr>
            <w:color w:val="1F4E79"/>
            <w:sz w:val="13"/>
          </w:rPr>
          <w:t>TV Apollon</w:t>
        </w:r>
      </w:hyperlink>
      <w:r>
        <w:rPr>
          <w:rFonts w:ascii="Arial" w:hAnsi="Arial"/>
          <w:b/>
          <w:color w:val="9C2F41"/>
          <w:sz w:val="13"/>
        </w:rPr>
        <w:t xml:space="preserve">  •  </w:t>
      </w:r>
      <w:hyperlink r:id="rId33">
        <w:r w:rsidR="00961BDF">
          <w:rPr>
            <w:color w:val="9B2D3F"/>
            <w:u w:val="single"/>
          </w:rPr>
          <w:t>FB 7</w:t>
        </w:r>
      </w:hyperlink>
    </w:p>
    <w:sectPr w:rsidR="00961BDF" w:rsidSect="00034616">
      <w:footerReference w:type="default" r:id="rId34"/>
      <w:pgSz w:w="11909" w:h="16834"/>
      <w:pgMar w:top="648" w:right="792" w:bottom="720" w:left="792" w:header="288"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4EE28" w14:textId="77777777" w:rsidR="009733BF" w:rsidRDefault="009733BF">
      <w:pPr>
        <w:spacing w:after="0" w:line="240" w:lineRule="auto"/>
      </w:pPr>
      <w:r>
        <w:separator/>
      </w:r>
    </w:p>
  </w:endnote>
  <w:endnote w:type="continuationSeparator" w:id="0">
    <w:p w14:paraId="03C85589" w14:textId="77777777" w:rsidR="009733BF" w:rsidRDefault="0097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FD33" w14:textId="77777777" w:rsidR="00412FB9" w:rsidRDefault="00412FB9">
    <w:pPr>
      <w:pStyle w:val="Footer"/>
    </w:pPr>
  </w:p>
  <w:tbl>
    <w:tblPr>
      <w:tblW w:w="0" w:type="auto"/>
      <w:jc w:val="center"/>
      <w:tblLook w:val="04A0" w:firstRow="1" w:lastRow="0" w:firstColumn="1" w:lastColumn="0" w:noHBand="0" w:noVBand="1"/>
    </w:tblPr>
    <w:tblGrid>
      <w:gridCol w:w="5112"/>
      <w:gridCol w:w="5112"/>
    </w:tblGrid>
    <w:tr w:rsidR="00412FB9" w14:paraId="0E406885" w14:textId="77777777">
      <w:trPr>
        <w:jc w:val="center"/>
      </w:trPr>
      <w:tc>
        <w:tcPr>
          <w:tcW w:w="5112" w:type="dxa"/>
          <w:tcBorders>
            <w:top w:val="nil"/>
            <w:left w:val="nil"/>
            <w:bottom w:val="nil"/>
            <w:right w:val="nil"/>
          </w:tcBorders>
          <w:shd w:val="clear" w:color="auto" w:fill="17324D"/>
          <w:tcMar>
            <w:top w:w="55" w:type="dxa"/>
            <w:left w:w="100" w:type="dxa"/>
            <w:bottom w:w="55" w:type="dxa"/>
            <w:right w:w="100" w:type="dxa"/>
          </w:tcMar>
        </w:tcPr>
        <w:p w14:paraId="16E45BD5" w14:textId="77777777" w:rsidR="00412FB9" w:rsidRDefault="00000000">
          <w:pPr>
            <w:spacing w:after="0"/>
          </w:pPr>
          <w:r>
            <w:rPr>
              <w:b/>
              <w:color w:val="FFFFFF"/>
              <w:sz w:val="15"/>
            </w:rPr>
            <w:t xml:space="preserve">MUNICIPALITY OF </w:t>
          </w:r>
          <w:proofErr w:type="gramStart"/>
          <w:r>
            <w:rPr>
              <w:b/>
              <w:color w:val="FFFFFF"/>
              <w:sz w:val="15"/>
            </w:rPr>
            <w:t>ROSKOVEC  |</w:t>
          </w:r>
          <w:proofErr w:type="gramEnd"/>
          <w:r>
            <w:rPr>
              <w:b/>
              <w:color w:val="FFFFFF"/>
              <w:sz w:val="15"/>
            </w:rPr>
            <w:t xml:space="preserve">  GOOD GOVERNANCE PROGRAMME</w:t>
          </w:r>
        </w:p>
      </w:tc>
      <w:tc>
        <w:tcPr>
          <w:tcW w:w="5112" w:type="dxa"/>
          <w:tcBorders>
            <w:top w:val="nil"/>
            <w:left w:val="nil"/>
            <w:bottom w:val="nil"/>
            <w:right w:val="nil"/>
          </w:tcBorders>
          <w:shd w:val="clear" w:color="auto" w:fill="17324D"/>
          <w:tcMar>
            <w:top w:w="55" w:type="dxa"/>
            <w:left w:w="100" w:type="dxa"/>
            <w:bottom w:w="55" w:type="dxa"/>
            <w:right w:w="100" w:type="dxa"/>
          </w:tcMar>
        </w:tcPr>
        <w:p w14:paraId="51A3A6BC" w14:textId="77777777" w:rsidR="00412FB9" w:rsidRDefault="00000000">
          <w:pPr>
            <w:spacing w:after="0"/>
            <w:jc w:val="right"/>
          </w:pPr>
          <w:r>
            <w:rPr>
              <w:b/>
              <w:color w:val="FFFFFF"/>
              <w:sz w:val="15"/>
            </w:rPr>
            <w:t>12–13 JULY 2026</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6B90D" w14:textId="77777777" w:rsidR="009733BF" w:rsidRDefault="009733BF">
      <w:pPr>
        <w:spacing w:after="0" w:line="240" w:lineRule="auto"/>
      </w:pPr>
      <w:r>
        <w:separator/>
      </w:r>
    </w:p>
  </w:footnote>
  <w:footnote w:type="continuationSeparator" w:id="0">
    <w:p w14:paraId="5BC86E1B" w14:textId="77777777" w:rsidR="009733BF" w:rsidRDefault="00973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775789020">
    <w:abstractNumId w:val="8"/>
  </w:num>
  <w:num w:numId="2" w16cid:durableId="233587339">
    <w:abstractNumId w:val="6"/>
  </w:num>
  <w:num w:numId="3" w16cid:durableId="548225135">
    <w:abstractNumId w:val="5"/>
  </w:num>
  <w:num w:numId="4" w16cid:durableId="1122455735">
    <w:abstractNumId w:val="4"/>
  </w:num>
  <w:num w:numId="5" w16cid:durableId="1306425389">
    <w:abstractNumId w:val="7"/>
  </w:num>
  <w:num w:numId="6" w16cid:durableId="1289237230">
    <w:abstractNumId w:val="3"/>
  </w:num>
  <w:num w:numId="7" w16cid:durableId="1885216648">
    <w:abstractNumId w:val="2"/>
  </w:num>
  <w:num w:numId="8" w16cid:durableId="1376539229">
    <w:abstractNumId w:val="1"/>
  </w:num>
  <w:num w:numId="9" w16cid:durableId="1877699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A32A2"/>
    <w:rsid w:val="0015074B"/>
    <w:rsid w:val="0029639D"/>
    <w:rsid w:val="00326F90"/>
    <w:rsid w:val="003461F1"/>
    <w:rsid w:val="00412FB9"/>
    <w:rsid w:val="00520242"/>
    <w:rsid w:val="00544E89"/>
    <w:rsid w:val="00961BDF"/>
    <w:rsid w:val="009733BF"/>
    <w:rsid w:val="00AA1D8D"/>
    <w:rsid w:val="00B247DB"/>
    <w:rsid w:val="00B47730"/>
    <w:rsid w:val="00CB0664"/>
    <w:rsid w:val="00CC6073"/>
    <w:rsid w:val="00F31A1C"/>
    <w:rsid w:val="00F97DC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7E8A4"/>
  <w14:defaultImageDpi w14:val="300"/>
  <w15:docId w15:val="{DF6BAC24-E885-4BA2-95EE-F9B96C71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80"/>
    </w:pPr>
    <w:rPr>
      <w:rFonts w:ascii="Aptos" w:hAnsi="Aptos"/>
      <w:sz w:val="19"/>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facebook.com/share/p/1BaDXkw6dV/?mibextid=wwXIfr" TargetMode="External"/><Relationship Id="rId3" Type="http://schemas.openxmlformats.org/officeDocument/2006/relationships/styles" Target="styles.xml"/><Relationship Id="rId21" Type="http://schemas.openxmlformats.org/officeDocument/2006/relationships/hyperlink" Target="https://hanapress.net/2026/07/roskoveci-dhe-lezha-bashkojne-pervojat-per-nje-qeverisje-me-te-mir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alb-spirit.com/2026/07/13/bufi-dhe-ndreu-bashkepunimi-mes-bashkive-sjell-me-shume-sherbime-per-qytetaret/" TargetMode="External"/><Relationship Id="rId33" Type="http://schemas.openxmlformats.org/officeDocument/2006/relationships/hyperlink" Target="https://www.facebook.com/share/p/1987QadDoB/"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bashkiaroskovec.gov.al/bashkia-roskovec-zhvillon-vizite-studimore-ne-bashkine-lezhe-ne-kuader-te-programit-per-qeverisjen-e-mire/" TargetMode="External"/><Relationship Id="rId29" Type="http://schemas.openxmlformats.org/officeDocument/2006/relationships/hyperlink" Target="https://www.facebook.com/share/p/1JixHbDiSG/?mibextid=wwXI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spektri.tv/roskoveci-dhe-lezha-forcojne-bashkepunimin-per-qeverisje-me-te-mire/" TargetMode="External"/><Relationship Id="rId32" Type="http://schemas.openxmlformats.org/officeDocument/2006/relationships/hyperlink" Target="https://www.facebook.com/share/19HUXZBDNr/?mibextid=wwXIfr"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ministrialajmeve.com/roskoveci-dhe-lezha-bashkojne-pervojat-per-nje-qeverisje-me-te-mire/" TargetMode="External"/><Relationship Id="rId28" Type="http://schemas.openxmlformats.org/officeDocument/2006/relationships/hyperlink" Target="https://www.facebook.com/share/1E7xaJWAYk/?mibextid=wwXIfr"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facebook.com/share/p/1BKptE7Jyh/?mibextid=wwXI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newsalbania.al/qeverisja-e-mire-nis-nga-bashkepunimi-roskoveci-dhe-lezha-ndajne-modelet-e-suksesit/" TargetMode="External"/><Relationship Id="rId27" Type="http://schemas.openxmlformats.org/officeDocument/2006/relationships/hyperlink" Target="https://www.facebook.com/share/17jDfjuLHM/?mibextid=wwXIfr" TargetMode="External"/><Relationship Id="rId30" Type="http://schemas.openxmlformats.org/officeDocument/2006/relationships/hyperlink" Target="https://www.facebook.com/share/p/1GVoGa6mTV/?mibextid=wwXIfr"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Roskovec Municipal Newsletter - Study Visit to Lezhe</dc:title>
  <dc:subject>Good Governance Programme</dc:subject>
  <dc:creator>Municipality of Roskovec</dc:creator>
  <cp:keywords/>
  <dc:description>generated by python-docx</dc:description>
  <cp:lastModifiedBy>Esterina Plaka</cp:lastModifiedBy>
  <cp:revision>5</cp:revision>
  <dcterms:created xsi:type="dcterms:W3CDTF">2026-07-13T21:22:00Z</dcterms:created>
  <dcterms:modified xsi:type="dcterms:W3CDTF">2026-07-14T11:36:00Z</dcterms:modified>
  <cp:category/>
</cp:coreProperties>
</file>