
<file path=[Content_Types].xml><?xml version="1.0" encoding="utf-8"?>
<Types xmlns="http://schemas.openxmlformats.org/package/2006/content-types">
  <Default Extension="png" ContentType="image/png"/>
  <Default Extension="bin"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charts/chart21.xml" ContentType="application/vnd.openxmlformats-officedocument.drawingml.chart+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charts/chart22.xml" ContentType="application/vnd.openxmlformats-officedocument.drawingml.chart+xml"/>
  <Override PartName="/word/charts/chart23.xml" ContentType="application/vnd.openxmlformats-officedocument.drawingml.chart+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0.xml" ContentType="application/vnd.openxmlformats-officedocument.wordprocessingml.header+xml"/>
  <Override PartName="/word/footer28.xml" ContentType="application/vnd.openxmlformats-officedocument.wordprocessingml.footer+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2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2.xml" ContentType="application/vnd.openxmlformats-officedocument.wordprocessingml.header+xml"/>
  <Override PartName="/word/footer31.xml" ContentType="application/vnd.openxmlformats-officedocument.wordprocessingml.footer+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header2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4.xml" ContentType="application/vnd.openxmlformats-officedocument.wordprocessingml.header+xml"/>
  <Override PartName="/word/footer34.xml" ContentType="application/vnd.openxmlformats-officedocument.wordprocessingml.footer+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header2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26.xml" ContentType="application/vnd.openxmlformats-officedocument.wordprocessingml.header+xml"/>
  <Override PartName="/word/footer37.xml" ContentType="application/vnd.openxmlformats-officedocument.wordprocessingml.footer+xml"/>
  <Override PartName="/word/charts/chart45.xml" ContentType="application/vnd.openxmlformats-officedocument.drawingml.chart+xml"/>
  <Override PartName="/word/charts/chart46.xml" ContentType="application/vnd.openxmlformats-officedocument.drawingml.chart+xml"/>
  <Override PartName="/word/header27.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28.xml" ContentType="application/vnd.openxmlformats-officedocument.wordprocessingml.header+xml"/>
  <Override PartName="/word/footer40.xml" ContentType="application/vnd.openxmlformats-officedocument.wordprocessingml.footer+xml"/>
  <Override PartName="/word/header2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30.xml" ContentType="application/vnd.openxmlformats-officedocument.wordprocessingml.header+xml"/>
  <Override PartName="/word/footer43.xml" ContentType="application/vnd.openxmlformats-officedocument.wordprocessingml.footer+xml"/>
  <Override PartName="/word/header31.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32.xml" ContentType="application/vnd.openxmlformats-officedocument.wordprocessingml.header+xml"/>
  <Override PartName="/word/footer46.xml" ContentType="application/vnd.openxmlformats-officedocument.wordprocessingml.footer+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20D4" w:rsidRDefault="00AE20D4">
      <w:r>
        <w:t xml:space="preserve">     </w:t>
      </w:r>
    </w:p>
    <w:sdt>
      <w:sdtPr>
        <w:id w:val="-1545199542"/>
        <w:docPartObj>
          <w:docPartGallery w:val="Cover Pages"/>
          <w:docPartUnique/>
        </w:docPartObj>
      </w:sdtPr>
      <w:sdtEndPr>
        <w:rPr>
          <w:sz w:val="52"/>
          <w:szCs w:val="52"/>
          <w:lang w:val="it-IT"/>
        </w:rPr>
      </w:sdtEndPr>
      <w:sdtContent>
        <w:p w:rsidR="005B526E" w:rsidRDefault="005B526E">
          <w:r>
            <w:rPr>
              <w:noProof/>
            </w:rPr>
            <mc:AlternateContent>
              <mc:Choice Requires="wps">
                <w:drawing>
                  <wp:anchor distT="0" distB="0" distL="114300" distR="114300" simplePos="0" relativeHeight="251655680" behindDoc="1" locked="0" layoutInCell="1" allowOverlap="0" wp14:anchorId="64B567FB" wp14:editId="1E63053E">
                    <wp:simplePos x="0" y="0"/>
                    <wp:positionH relativeFrom="page">
                      <wp:align>center</wp:align>
                    </wp:positionH>
                    <wp:positionV relativeFrom="page">
                      <wp:align>center</wp:align>
                    </wp:positionV>
                    <wp:extent cx="6858000" cy="9144000"/>
                    <wp:effectExtent l="0" t="0" r="0" b="0"/>
                    <wp:wrapNone/>
                    <wp:docPr id="1" name="Text Box 1"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A8516B">
                                  <w:trPr>
                                    <w:trHeight w:hRule="exact" w:val="9360"/>
                                  </w:trPr>
                                  <w:tc>
                                    <w:tcPr>
                                      <w:tcW w:w="9350" w:type="dxa"/>
                                    </w:tcPr>
                                    <w:p w:rsidR="00A8516B" w:rsidRDefault="00A8516B">
                                      <w:r>
                                        <w:rPr>
                                          <w:noProof/>
                                        </w:rPr>
                                        <w:drawing>
                                          <wp:inline distT="0" distB="0" distL="0" distR="0" wp14:anchorId="22081635" wp14:editId="2B48A9D9">
                                            <wp:extent cx="6858000" cy="5961888"/>
                                            <wp:effectExtent l="0" t="0" r="0" b="1270"/>
                                            <wp:docPr id="5" name="Picture 4" descr="Photo displaying partial image of two pie charts on a canvas-textured pag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cstate="print">
                                                      <a:extLst>
                                                        <a:ext uri="{28A0092B-C50C-407E-A947-70E740481C1C}">
                                                          <a14:useLocalDpi xmlns:a14="http://schemas.microsoft.com/office/drawing/2010/main" val="0"/>
                                                        </a:ext>
                                                      </a:extLst>
                                                    </a:blip>
                                                    <a:srcRect l="18915" t="2451" r="22299" b="20665"/>
                                                    <a:stretch/>
                                                  </pic:blipFill>
                                                  <pic:spPr bwMode="auto">
                                                    <a:xfrm>
                                                      <a:off x="0" y="0"/>
                                                      <a:ext cx="6858000" cy="5961888"/>
                                                    </a:xfrm>
                                                    <a:prstGeom prst="rect">
                                                      <a:avLst/>
                                                    </a:prstGeom>
                                                    <a:ln>
                                                      <a:noFill/>
                                                    </a:ln>
                                                    <a:extLst>
                                                      <a:ext uri="{53640926-AAD7-44D8-BBD7-CCE9431645EC}">
                                                        <a14:shadowObscured xmlns:a14="http://schemas.microsoft.com/office/drawing/2010/main"/>
                                                      </a:ext>
                                                    </a:extLst>
                                                  </pic:spPr>
                                                </pic:pic>
                                              </a:graphicData>
                                            </a:graphic>
                                          </wp:inline>
                                        </w:drawing>
                                      </w:r>
                                    </w:p>
                                  </w:tc>
                                </w:tr>
                                <w:tr w:rsidR="00A8516B">
                                  <w:trPr>
                                    <w:trHeight w:hRule="exact" w:val="4320"/>
                                  </w:trPr>
                                  <w:tc>
                                    <w:tcPr>
                                      <w:tcW w:w="9350" w:type="dxa"/>
                                      <w:shd w:val="clear" w:color="auto" w:fill="0E2841" w:themeFill="text2"/>
                                      <w:vAlign w:val="center"/>
                                    </w:tcPr>
                                    <w:p w:rsidR="00A8516B" w:rsidRPr="005B526E" w:rsidRDefault="00A8516B">
                                      <w:pPr>
                                        <w:pStyle w:val="NoSpacing"/>
                                        <w:spacing w:before="200" w:line="216" w:lineRule="auto"/>
                                        <w:ind w:left="720" w:right="720"/>
                                        <w:rPr>
                                          <w:rFonts w:asciiTheme="majorHAnsi" w:hAnsiTheme="majorHAnsi"/>
                                          <w:color w:val="FFFFFF" w:themeColor="background1"/>
                                          <w:sz w:val="72"/>
                                          <w:szCs w:val="96"/>
                                        </w:rPr>
                                      </w:pPr>
                                    </w:p>
                                    <w:p w:rsidR="00A8516B" w:rsidRDefault="00A8516B" w:rsidP="005B526E">
                                      <w:pPr>
                                        <w:pStyle w:val="NoSpacing"/>
                                        <w:spacing w:before="240"/>
                                        <w:ind w:right="720"/>
                                        <w:rPr>
                                          <w:color w:val="FFFFFF" w:themeColor="background1"/>
                                          <w:sz w:val="32"/>
                                          <w:szCs w:val="32"/>
                                        </w:rPr>
                                      </w:pPr>
                                    </w:p>
                                  </w:tc>
                                </w:tr>
                                <w:tr w:rsidR="00A8516B">
                                  <w:trPr>
                                    <w:trHeight w:hRule="exact" w:val="720"/>
                                  </w:trPr>
                                  <w:tc>
                                    <w:tcPr>
                                      <w:tcW w:w="9350" w:type="dxa"/>
                                      <w:shd w:val="clear" w:color="auto" w:fill="4EA72E" w:themeFill="accent6"/>
                                    </w:tcPr>
                                    <w:tbl>
                                      <w:tblPr>
                                        <w:tblStyle w:val="GridTable4-Accent11"/>
                                        <w:tblW w:w="5000" w:type="pct"/>
                                        <w:shd w:val="clear" w:color="auto" w:fill="E8E8E8" w:themeFill="background2"/>
                                        <w:tblLook w:val="04A0" w:firstRow="1" w:lastRow="0" w:firstColumn="1" w:lastColumn="0" w:noHBand="0" w:noVBand="1"/>
                                        <w:tblDescription w:val="Cover page info"/>
                                      </w:tblPr>
                                      <w:tblGrid>
                                        <w:gridCol w:w="3596"/>
                                        <w:gridCol w:w="3597"/>
                                        <w:gridCol w:w="3597"/>
                                      </w:tblGrid>
                                      <w:tr w:rsidR="00A8516B" w:rsidTr="009E0003">
                                        <w:trPr>
                                          <w:cnfStyle w:val="100000000000" w:firstRow="1" w:lastRow="0" w:firstColumn="0" w:lastColumn="0" w:oddVBand="0" w:evenVBand="0" w:oddHBand="0"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3590" w:type="dxa"/>
                                            <w:shd w:val="clear" w:color="auto" w:fill="E8E8E8" w:themeFill="background2"/>
                                          </w:tcPr>
                                          <w:p w:rsidR="00A8516B" w:rsidRDefault="00A8516B" w:rsidP="005B526E">
                                            <w:pPr>
                                              <w:pStyle w:val="NoSpacing"/>
                                              <w:ind w:right="144"/>
                                              <w:rPr>
                                                <w:color w:val="FFFFFF" w:themeColor="background1"/>
                                              </w:rPr>
                                            </w:pPr>
                                          </w:p>
                                        </w:tc>
                                        <w:tc>
                                          <w:tcPr>
                                            <w:tcW w:w="3591" w:type="dxa"/>
                                            <w:shd w:val="clear" w:color="auto" w:fill="E8E8E8" w:themeFill="background2"/>
                                          </w:tcPr>
                                          <w:p w:rsidR="00A8516B" w:rsidRPr="009E0003" w:rsidRDefault="00A8516B" w:rsidP="005B526E">
                                            <w:pPr>
                                              <w:pStyle w:val="NoSpacing"/>
                                              <w:ind w:left="144" w:right="144"/>
                                              <w:jc w:val="center"/>
                                              <w:cnfStyle w:val="100000000000" w:firstRow="1" w:lastRow="0" w:firstColumn="0" w:lastColumn="0" w:oddVBand="0" w:evenVBand="0" w:oddHBand="0" w:evenHBand="0" w:firstRowFirstColumn="0" w:firstRowLastColumn="0" w:lastRowFirstColumn="0" w:lastRowLastColumn="0"/>
                                              <w:rPr>
                                                <w:color w:val="FFFFFF" w:themeColor="background1"/>
                                                <w:sz w:val="42"/>
                                              </w:rPr>
                                            </w:pPr>
                                            <w:r w:rsidRPr="009E0003">
                                              <w:rPr>
                                                <w:color w:val="0F4761" w:themeColor="accent1" w:themeShade="BF"/>
                                                <w:sz w:val="42"/>
                                              </w:rPr>
                                              <w:t>2025</w:t>
                                            </w:r>
                                          </w:p>
                                        </w:tc>
                                        <w:tc>
                                          <w:tcPr>
                                            <w:tcW w:w="3591" w:type="dxa"/>
                                            <w:shd w:val="clear" w:color="auto" w:fill="E8E8E8" w:themeFill="background2"/>
                                          </w:tcPr>
                                          <w:p w:rsidR="00A8516B" w:rsidRDefault="00A8516B">
                                            <w:pPr>
                                              <w:pStyle w:val="NoSpacing"/>
                                              <w:ind w:left="144" w:right="720"/>
                                              <w:jc w:val="right"/>
                                              <w:cnfStyle w:val="100000000000" w:firstRow="1" w:lastRow="0" w:firstColumn="0" w:lastColumn="0" w:oddVBand="0" w:evenVBand="0" w:oddHBand="0" w:evenHBand="0" w:firstRowFirstColumn="0" w:firstRowLastColumn="0" w:lastRowFirstColumn="0" w:lastRowLastColumn="0"/>
                                              <w:rPr>
                                                <w:color w:val="FFFFFF" w:themeColor="background1"/>
                                              </w:rPr>
                                            </w:pPr>
                                          </w:p>
                                        </w:tc>
                                      </w:tr>
                                    </w:tbl>
                                    <w:p w:rsidR="00A8516B" w:rsidRDefault="00A8516B"/>
                                  </w:tc>
                                </w:tr>
                              </w:tbl>
                              <w:p w:rsidR="00A8516B" w:rsidRDefault="00A851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4B567FB" id="_x0000_t202" coordsize="21600,21600" o:spt="202" path="m,l,21600r21600,l21600,xe">
                    <v:stroke joinstyle="miter"/>
                    <v:path gradientshapeok="t" o:connecttype="rect"/>
                  </v:shapetype>
                  <v:shape id="Text Box 1" o:spid="_x0000_s1026" type="#_x0000_t202" alt="Cover page layout" style="position:absolute;left:0;text-align:left;margin-left:0;margin-top:0;width:540pt;height:10in;z-index:-251660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0"/>
                          </w:tblGrid>
                          <w:tr w:rsidR="00A8516B">
                            <w:trPr>
                              <w:trHeight w:hRule="exact" w:val="9360"/>
                            </w:trPr>
                            <w:tc>
                              <w:tcPr>
                                <w:tcW w:w="9350" w:type="dxa"/>
                              </w:tcPr>
                              <w:p w:rsidR="00A8516B" w:rsidRDefault="00A8516B">
                                <w:r>
                                  <w:rPr>
                                    <w:noProof/>
                                  </w:rPr>
                                  <w:drawing>
                                    <wp:inline distT="0" distB="0" distL="0" distR="0" wp14:anchorId="22081635" wp14:editId="2B48A9D9">
                                      <wp:extent cx="6858000" cy="5961888"/>
                                      <wp:effectExtent l="0" t="0" r="0" b="1270"/>
                                      <wp:docPr id="5" name="Picture 4" descr="Photo displaying partial image of two pie charts on a canvas-textured pag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cstate="print">
                                                <a:extLst>
                                                  <a:ext uri="{28A0092B-C50C-407E-A947-70E740481C1C}">
                                                    <a14:useLocalDpi xmlns:a14="http://schemas.microsoft.com/office/drawing/2010/main" val="0"/>
                                                  </a:ext>
                                                </a:extLst>
                                              </a:blip>
                                              <a:srcRect l="18915" t="2451" r="22299" b="20665"/>
                                              <a:stretch/>
                                            </pic:blipFill>
                                            <pic:spPr bwMode="auto">
                                              <a:xfrm>
                                                <a:off x="0" y="0"/>
                                                <a:ext cx="6858000" cy="5961888"/>
                                              </a:xfrm>
                                              <a:prstGeom prst="rect">
                                                <a:avLst/>
                                              </a:prstGeom>
                                              <a:ln>
                                                <a:noFill/>
                                              </a:ln>
                                              <a:extLst>
                                                <a:ext uri="{53640926-AAD7-44D8-BBD7-CCE9431645EC}">
                                                  <a14:shadowObscured xmlns:a14="http://schemas.microsoft.com/office/drawing/2010/main"/>
                                                </a:ext>
                                              </a:extLst>
                                            </pic:spPr>
                                          </pic:pic>
                                        </a:graphicData>
                                      </a:graphic>
                                    </wp:inline>
                                  </w:drawing>
                                </w:r>
                              </w:p>
                            </w:tc>
                          </w:tr>
                          <w:tr w:rsidR="00A8516B">
                            <w:trPr>
                              <w:trHeight w:hRule="exact" w:val="4320"/>
                            </w:trPr>
                            <w:tc>
                              <w:tcPr>
                                <w:tcW w:w="9350" w:type="dxa"/>
                                <w:shd w:val="clear" w:color="auto" w:fill="0E2841" w:themeFill="text2"/>
                                <w:vAlign w:val="center"/>
                              </w:tcPr>
                              <w:p w:rsidR="00A8516B" w:rsidRPr="005B526E" w:rsidRDefault="00A8516B">
                                <w:pPr>
                                  <w:pStyle w:val="NoSpacing"/>
                                  <w:spacing w:before="200" w:line="216" w:lineRule="auto"/>
                                  <w:ind w:left="720" w:right="720"/>
                                  <w:rPr>
                                    <w:rFonts w:asciiTheme="majorHAnsi" w:hAnsiTheme="majorHAnsi"/>
                                    <w:color w:val="FFFFFF" w:themeColor="background1"/>
                                    <w:sz w:val="72"/>
                                    <w:szCs w:val="96"/>
                                  </w:rPr>
                                </w:pPr>
                              </w:p>
                              <w:p w:rsidR="00A8516B" w:rsidRDefault="00A8516B" w:rsidP="005B526E">
                                <w:pPr>
                                  <w:pStyle w:val="NoSpacing"/>
                                  <w:spacing w:before="240"/>
                                  <w:ind w:right="720"/>
                                  <w:rPr>
                                    <w:color w:val="FFFFFF" w:themeColor="background1"/>
                                    <w:sz w:val="32"/>
                                    <w:szCs w:val="32"/>
                                  </w:rPr>
                                </w:pPr>
                              </w:p>
                            </w:tc>
                          </w:tr>
                          <w:tr w:rsidR="00A8516B">
                            <w:trPr>
                              <w:trHeight w:hRule="exact" w:val="720"/>
                            </w:trPr>
                            <w:tc>
                              <w:tcPr>
                                <w:tcW w:w="9350" w:type="dxa"/>
                                <w:shd w:val="clear" w:color="auto" w:fill="4EA72E" w:themeFill="accent6"/>
                              </w:tcPr>
                              <w:tbl>
                                <w:tblPr>
                                  <w:tblStyle w:val="GridTable4-Accent11"/>
                                  <w:tblW w:w="5000" w:type="pct"/>
                                  <w:shd w:val="clear" w:color="auto" w:fill="E8E8E8" w:themeFill="background2"/>
                                  <w:tblLook w:val="04A0" w:firstRow="1" w:lastRow="0" w:firstColumn="1" w:lastColumn="0" w:noHBand="0" w:noVBand="1"/>
                                  <w:tblDescription w:val="Cover page info"/>
                                </w:tblPr>
                                <w:tblGrid>
                                  <w:gridCol w:w="3596"/>
                                  <w:gridCol w:w="3597"/>
                                  <w:gridCol w:w="3597"/>
                                </w:tblGrid>
                                <w:tr w:rsidR="00A8516B" w:rsidTr="009E0003">
                                  <w:trPr>
                                    <w:cnfStyle w:val="100000000000" w:firstRow="1" w:lastRow="0" w:firstColumn="0" w:lastColumn="0" w:oddVBand="0" w:evenVBand="0" w:oddHBand="0"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3590" w:type="dxa"/>
                                      <w:shd w:val="clear" w:color="auto" w:fill="E8E8E8" w:themeFill="background2"/>
                                    </w:tcPr>
                                    <w:p w:rsidR="00A8516B" w:rsidRDefault="00A8516B" w:rsidP="005B526E">
                                      <w:pPr>
                                        <w:pStyle w:val="NoSpacing"/>
                                        <w:ind w:right="144"/>
                                        <w:rPr>
                                          <w:color w:val="FFFFFF" w:themeColor="background1"/>
                                        </w:rPr>
                                      </w:pPr>
                                    </w:p>
                                  </w:tc>
                                  <w:tc>
                                    <w:tcPr>
                                      <w:tcW w:w="3591" w:type="dxa"/>
                                      <w:shd w:val="clear" w:color="auto" w:fill="E8E8E8" w:themeFill="background2"/>
                                    </w:tcPr>
                                    <w:p w:rsidR="00A8516B" w:rsidRPr="009E0003" w:rsidRDefault="00A8516B" w:rsidP="005B526E">
                                      <w:pPr>
                                        <w:pStyle w:val="NoSpacing"/>
                                        <w:ind w:left="144" w:right="144"/>
                                        <w:jc w:val="center"/>
                                        <w:cnfStyle w:val="100000000000" w:firstRow="1" w:lastRow="0" w:firstColumn="0" w:lastColumn="0" w:oddVBand="0" w:evenVBand="0" w:oddHBand="0" w:evenHBand="0" w:firstRowFirstColumn="0" w:firstRowLastColumn="0" w:lastRowFirstColumn="0" w:lastRowLastColumn="0"/>
                                        <w:rPr>
                                          <w:color w:val="FFFFFF" w:themeColor="background1"/>
                                          <w:sz w:val="42"/>
                                        </w:rPr>
                                      </w:pPr>
                                      <w:r w:rsidRPr="009E0003">
                                        <w:rPr>
                                          <w:color w:val="0F4761" w:themeColor="accent1" w:themeShade="BF"/>
                                          <w:sz w:val="42"/>
                                        </w:rPr>
                                        <w:t>2025</w:t>
                                      </w:r>
                                    </w:p>
                                  </w:tc>
                                  <w:tc>
                                    <w:tcPr>
                                      <w:tcW w:w="3591" w:type="dxa"/>
                                      <w:shd w:val="clear" w:color="auto" w:fill="E8E8E8" w:themeFill="background2"/>
                                    </w:tcPr>
                                    <w:p w:rsidR="00A8516B" w:rsidRDefault="00A8516B">
                                      <w:pPr>
                                        <w:pStyle w:val="NoSpacing"/>
                                        <w:ind w:left="144" w:right="720"/>
                                        <w:jc w:val="right"/>
                                        <w:cnfStyle w:val="100000000000" w:firstRow="1" w:lastRow="0" w:firstColumn="0" w:lastColumn="0" w:oddVBand="0" w:evenVBand="0" w:oddHBand="0" w:evenHBand="0" w:firstRowFirstColumn="0" w:firstRowLastColumn="0" w:lastRowFirstColumn="0" w:lastRowLastColumn="0"/>
                                        <w:rPr>
                                          <w:color w:val="FFFFFF" w:themeColor="background1"/>
                                        </w:rPr>
                                      </w:pPr>
                                    </w:p>
                                  </w:tc>
                                </w:tr>
                              </w:tbl>
                              <w:p w:rsidR="00A8516B" w:rsidRDefault="00A8516B"/>
                            </w:tc>
                          </w:tr>
                        </w:tbl>
                        <w:p w:rsidR="00A8516B" w:rsidRDefault="00A8516B"/>
                      </w:txbxContent>
                    </v:textbox>
                    <w10:wrap anchorx="page" anchory="page"/>
                  </v:shape>
                </w:pict>
              </mc:Fallback>
            </mc:AlternateContent>
          </w:r>
        </w:p>
        <w:p w:rsidR="00533960" w:rsidRDefault="000708F2" w:rsidP="00533960">
          <w:pPr>
            <w:rPr>
              <w:sz w:val="52"/>
              <w:szCs w:val="52"/>
              <w:lang w:val="it-IT"/>
            </w:rPr>
          </w:pPr>
          <w:r>
            <w:rPr>
              <w:noProof/>
              <w:sz w:val="52"/>
              <w:szCs w:val="52"/>
            </w:rPr>
            <mc:AlternateContent>
              <mc:Choice Requires="wps">
                <w:drawing>
                  <wp:anchor distT="0" distB="0" distL="114300" distR="114300" simplePos="0" relativeHeight="251662848" behindDoc="0" locked="0" layoutInCell="1" allowOverlap="1" wp14:anchorId="57CCD511" wp14:editId="6816DA32">
                    <wp:simplePos x="0" y="0"/>
                    <wp:positionH relativeFrom="column">
                      <wp:posOffset>-16980</wp:posOffset>
                    </wp:positionH>
                    <wp:positionV relativeFrom="paragraph">
                      <wp:posOffset>5729439</wp:posOffset>
                    </wp:positionV>
                    <wp:extent cx="5629275" cy="755015"/>
                    <wp:effectExtent l="0" t="0" r="0" b="6985"/>
                    <wp:wrapThrough wrapText="bothSides">
                      <wp:wrapPolygon edited="0">
                        <wp:start x="146" y="0"/>
                        <wp:lineTo x="146" y="21255"/>
                        <wp:lineTo x="21344" y="21255"/>
                        <wp:lineTo x="21344" y="0"/>
                        <wp:lineTo x="146" y="0"/>
                      </wp:wrapPolygon>
                    </wp:wrapThrough>
                    <wp:docPr id="3" name="Text Box 3"/>
                    <wp:cNvGraphicFramePr/>
                    <a:graphic xmlns:a="http://schemas.openxmlformats.org/drawingml/2006/main">
                      <a:graphicData uri="http://schemas.microsoft.com/office/word/2010/wordprocessingShape">
                        <wps:wsp>
                          <wps:cNvSpPr txBox="1"/>
                          <wps:spPr>
                            <a:xfrm>
                              <a:off x="0" y="0"/>
                              <a:ext cx="5629275" cy="755015"/>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rsidR="00A8516B" w:rsidRPr="005B526E" w:rsidRDefault="00A8516B" w:rsidP="000708F2">
                                <w:pPr>
                                  <w:pStyle w:val="NoSpacing"/>
                                  <w:spacing w:before="200" w:line="216" w:lineRule="auto"/>
                                  <w:ind w:right="720"/>
                                  <w:rPr>
                                    <w:rFonts w:asciiTheme="majorHAnsi" w:hAnsiTheme="majorHAnsi"/>
                                    <w:color w:val="FFFFFF" w:themeColor="background1"/>
                                    <w:sz w:val="72"/>
                                    <w:szCs w:val="96"/>
                                  </w:rPr>
                                </w:pPr>
                                <w:r>
                                  <w:rPr>
                                    <w:rFonts w:asciiTheme="majorHAnsi" w:hAnsiTheme="majorHAnsi"/>
                                    <w:color w:val="FFFFFF" w:themeColor="background1"/>
                                    <w:sz w:val="72"/>
                                    <w:szCs w:val="96"/>
                                  </w:rPr>
                                  <w:t>Raporti i Performancës</w:t>
                                </w:r>
                              </w:p>
                              <w:p w:rsidR="00A8516B" w:rsidRPr="005B526E" w:rsidRDefault="00A8516B" w:rsidP="000708F2">
                                <w:pPr>
                                  <w:pStyle w:val="bashkiaNameSty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CCD511" id="Text Box 3" o:spid="_x0000_s1027" type="#_x0000_t202" style="position:absolute;left:0;text-align:left;margin-left:-1.35pt;margin-top:451.15pt;width:443.25pt;height:59.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" filled="f" stroked="f">
                    <v:textbox>
                      <w:txbxContent>
                        <w:p w:rsidR="00A8516B" w:rsidRPr="005B526E" w:rsidRDefault="00A8516B" w:rsidP="000708F2">
                          <w:pPr>
                            <w:pStyle w:val="NoSpacing"/>
                            <w:spacing w:before="200" w:line="216" w:lineRule="auto"/>
                            <w:ind w:right="720"/>
                            <w:rPr>
                              <w:rFonts w:asciiTheme="majorHAnsi" w:hAnsiTheme="majorHAnsi"/>
                              <w:color w:val="FFFFFF" w:themeColor="background1"/>
                              <w:sz w:val="72"/>
                              <w:szCs w:val="96"/>
                            </w:rPr>
                          </w:pPr>
                          <w:r>
                            <w:rPr>
                              <w:rFonts w:asciiTheme="majorHAnsi" w:hAnsiTheme="majorHAnsi"/>
                              <w:color w:val="FFFFFF" w:themeColor="background1"/>
                              <w:sz w:val="72"/>
                              <w:szCs w:val="96"/>
                            </w:rPr>
                            <w:t>Raporti i Performancës</w:t>
                          </w:r>
                        </w:p>
                        <w:p w:rsidR="00A8516B" w:rsidRPr="005B526E" w:rsidRDefault="00A8516B" w:rsidP="000708F2">
                          <w:pPr>
                            <w:pStyle w:val="bashkiaNameStyle"/>
                          </w:pPr>
                        </w:p>
                      </w:txbxContent>
                    </v:textbox>
                    <w10:wrap type="through"/>
                  </v:shape>
                </w:pict>
              </mc:Fallback>
            </mc:AlternateContent>
          </w:r>
          <w:r w:rsidR="005B526E">
            <w:rPr>
              <w:noProof/>
              <w:sz w:val="52"/>
              <w:szCs w:val="52"/>
            </w:rPr>
            <mc:AlternateContent>
              <mc:Choice Requires="wps">
                <w:drawing>
                  <wp:anchor distT="0" distB="0" distL="114300" distR="114300" simplePos="0" relativeHeight="251656704" behindDoc="0" locked="0" layoutInCell="1" allowOverlap="1" wp14:anchorId="4FBD9504" wp14:editId="370AA706">
                    <wp:simplePos x="0" y="0"/>
                    <wp:positionH relativeFrom="column">
                      <wp:posOffset>-16345</wp:posOffset>
                    </wp:positionH>
                    <wp:positionV relativeFrom="paragraph">
                      <wp:posOffset>6807200</wp:posOffset>
                    </wp:positionV>
                    <wp:extent cx="3283889" cy="421419"/>
                    <wp:effectExtent l="0" t="0" r="0" b="0"/>
                    <wp:wrapThrough wrapText="bothSides">
                      <wp:wrapPolygon edited="0">
                        <wp:start x="251" y="0"/>
                        <wp:lineTo x="251" y="20525"/>
                        <wp:lineTo x="21178" y="20525"/>
                        <wp:lineTo x="21178" y="0"/>
                        <wp:lineTo x="251" y="0"/>
                      </wp:wrapPolygon>
                    </wp:wrapThrough>
                    <wp:docPr id="2" name="Text Box 2"/>
                    <wp:cNvGraphicFramePr/>
                    <a:graphic xmlns:a="http://schemas.openxmlformats.org/drawingml/2006/main">
                      <a:graphicData uri="http://schemas.microsoft.com/office/word/2010/wordprocessingShape">
                        <wps:wsp>
                          <wps:cNvSpPr txBox="1"/>
                          <wps:spPr>
                            <a:xfrm>
                              <a:off x="0" y="0"/>
                              <a:ext cx="3283889" cy="421419"/>
                            </a:xfrm>
                            <a:prstGeom prst="rect">
                              <a:avLst/>
                            </a:prstGeom>
                            <a:noFill/>
                            <a:ln>
                              <a:noFill/>
                            </a:ln>
                          </wps:spPr>
                          <wps:style>
                            <a:lnRef idx="0">
                              <a:scrgbClr r="0" g="0" b="0"/>
                            </a:lnRef>
                            <a:fillRef idx="0">
                              <a:scrgbClr r="0" g="0" b="0"/>
                            </a:fillRef>
                            <a:effectRef idx="0">
                              <a:scrgbClr r="0" g="0" b="0"/>
                            </a:effectRef>
                            <a:fontRef idx="minor">
                              <a:schemeClr val="accent4"/>
                            </a:fontRef>
                          </wps:style>
                          <wps:txbx>
                            <w:txbxContent>
                              <w:p w:rsidR="00A8516B" w:rsidRPr="005B526E" w:rsidRDefault="00A8516B" w:rsidP="005B526E">
                                <w:pPr>
                                  <w:pStyle w:val="bashkiaNameStyle"/>
                                </w:pPr>
                                <w:r w:rsidRPr="005B526E">
                                  <w:t xml:space="preserve">Bashkia  </w:t>
                                </w:r>
                                <w:bookmarkStart w:id="0" w:name="bashkia_name"/>
                                <w:bookmarkEnd w:id="0"/>
                                <w:r>
                                  <w:t>Roskovec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BD9504" id="Text Box 2" o:spid="_x0000_s1028" type="#_x0000_t202" style="position:absolute;left:0;text-align:left;margin-left:-1.3pt;margin-top:536pt;width:258.55pt;height:33.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" filled="f" stroked="f">
                    <v:textbox>
                      <w:txbxContent>
                        <w:p w:rsidR="00A8516B" w:rsidRPr="005B526E" w:rsidRDefault="00A8516B" w:rsidP="005B526E">
                          <w:pPr>
                            <w:pStyle w:val="bashkiaNameStyle"/>
                          </w:pPr>
                          <w:r w:rsidRPr="005B526E">
                            <w:t xml:space="preserve">Bashkia  </w:t>
                          </w:r>
                          <w:bookmarkStart w:id="1" w:name="bashkia_name"/>
                          <w:bookmarkEnd w:id="1"/>
                          <w:r>
                            <w:t>Roskovec</w:t>
                          </w:r>
                        </w:p>
                      </w:txbxContent>
                    </v:textbox>
                    <w10:wrap type="through"/>
                  </v:shape>
                </w:pict>
              </mc:Fallback>
            </mc:AlternateContent>
          </w:r>
          <w:r w:rsidR="005B526E">
            <w:rPr>
              <w:sz w:val="52"/>
              <w:szCs w:val="52"/>
              <w:lang w:val="it-IT"/>
            </w:rPr>
            <w:br w:type="page"/>
          </w:r>
        </w:p>
      </w:sdtContent>
    </w:sdt>
    <w:p w:rsidR="00533960" w:rsidRPr="00533960" w:rsidRDefault="00533960" w:rsidP="00533960">
      <w:pPr>
        <w:rPr>
          <w:sz w:val="52"/>
          <w:szCs w:val="52"/>
          <w:lang w:val="it-IT"/>
        </w:rPr>
      </w:pPr>
      <w:r w:rsidRPr="006B40F3">
        <w:rPr>
          <w:b/>
          <w:bCs/>
        </w:rPr>
        <w:lastRenderedPageBreak/>
        <w:t>Ky botim u mbështet nga ‘Bashki të Forta’, projekt i Agjencisë Zvicerane për Zhvillim dhe Bashkëpunim SDC dhe Qeverisë së Suedisë, i zbatuar nga Helvetas. Pikëpamjet e shprehura në këtë botim nuk pasqyrojnë domosdoshmërisht qëndrimet e Qeverisë së Zvicrës apo të Suedisë.</w:t>
      </w:r>
    </w:p>
    <w:p w:rsidR="00533960" w:rsidRDefault="00533960" w:rsidP="00533960"/>
    <w:p w:rsidR="00533960" w:rsidRDefault="00533960" w:rsidP="00533960">
      <w:r w:rsidRPr="00DC5A15">
        <w:rPr>
          <w:rFonts w:cstheme="minorHAnsi"/>
          <w:noProof/>
        </w:rPr>
        <w:drawing>
          <wp:anchor distT="0" distB="0" distL="114300" distR="114300" simplePos="0" relativeHeight="251663872" behindDoc="1" locked="0" layoutInCell="1" allowOverlap="1" wp14:anchorId="6D85A0C8" wp14:editId="3A75FFE8">
            <wp:simplePos x="0" y="0"/>
            <wp:positionH relativeFrom="margin">
              <wp:align>center</wp:align>
            </wp:positionH>
            <wp:positionV relativeFrom="paragraph">
              <wp:posOffset>1813016</wp:posOffset>
            </wp:positionV>
            <wp:extent cx="2154860" cy="560614"/>
            <wp:effectExtent l="0" t="0" r="0" b="0"/>
            <wp:wrapNone/>
            <wp:docPr id="1765346899" name="Picture 2" descr="A re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46899" name="Picture 2" descr="A red text on a white background&#10;&#10;Description automatically generated"/>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2154860" cy="560614"/>
                    </a:xfrm>
                    <a:prstGeom prst="rect">
                      <a:avLst/>
                    </a:prstGeom>
                  </pic:spPr>
                </pic:pic>
              </a:graphicData>
            </a:graphic>
            <wp14:sizeRelH relativeFrom="margin">
              <wp14:pctWidth>0</wp14:pctWidth>
            </wp14:sizeRelH>
            <wp14:sizeRelV relativeFrom="margin">
              <wp14:pctHeight>0</wp14:pctHeight>
            </wp14:sizeRelV>
          </wp:anchor>
        </w:drawing>
      </w:r>
      <w:r w:rsidRPr="00DC5A15">
        <w:rPr>
          <w:rFonts w:cstheme="minorHAnsi"/>
          <w:noProof/>
        </w:rPr>
        <w:drawing>
          <wp:anchor distT="0" distB="0" distL="114300" distR="114300" simplePos="0" relativeHeight="251664896" behindDoc="0" locked="0" layoutInCell="1" allowOverlap="1" wp14:anchorId="5BE74CCF" wp14:editId="537A7FC2">
            <wp:simplePos x="0" y="0"/>
            <wp:positionH relativeFrom="column">
              <wp:posOffset>4083686</wp:posOffset>
            </wp:positionH>
            <wp:positionV relativeFrom="paragraph">
              <wp:posOffset>218803</wp:posOffset>
            </wp:positionV>
            <wp:extent cx="1752600" cy="466777"/>
            <wp:effectExtent l="0" t="0" r="0" b="9525"/>
            <wp:wrapNone/>
            <wp:docPr id="915931019" name="Picture 5" descr="A blue and yellow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31019" name="Picture 5" descr="A blue and yellow text on a black background&#10;&#10;Description automatically generated"/>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1784650" cy="475313"/>
                    </a:xfrm>
                    <a:prstGeom prst="rect">
                      <a:avLst/>
                    </a:prstGeom>
                  </pic:spPr>
                </pic:pic>
              </a:graphicData>
            </a:graphic>
            <wp14:sizeRelH relativeFrom="margin">
              <wp14:pctWidth>0</wp14:pctWidth>
            </wp14:sizeRelH>
            <wp14:sizeRelV relativeFrom="margin">
              <wp14:pctHeight>0</wp14:pctHeight>
            </wp14:sizeRelV>
          </wp:anchor>
        </w:drawing>
      </w:r>
      <w:r w:rsidRPr="00DC5A15">
        <w:rPr>
          <w:rFonts w:cstheme="minorHAnsi"/>
          <w:noProof/>
        </w:rPr>
        <w:drawing>
          <wp:anchor distT="0" distB="0" distL="114300" distR="114300" simplePos="0" relativeHeight="251665920" behindDoc="1" locked="0" layoutInCell="1" allowOverlap="1" wp14:anchorId="1D841829" wp14:editId="6F9F98D6">
            <wp:simplePos x="0" y="0"/>
            <wp:positionH relativeFrom="column">
              <wp:posOffset>420189</wp:posOffset>
            </wp:positionH>
            <wp:positionV relativeFrom="paragraph">
              <wp:posOffset>113575</wp:posOffset>
            </wp:positionV>
            <wp:extent cx="2200532" cy="1012371"/>
            <wp:effectExtent l="0" t="0" r="0" b="0"/>
            <wp:wrapNone/>
            <wp:docPr id="418428602"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28602" name="Picture 1" descr="A close-up of a white background&#10;&#10;Description automatically generated"/>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0" y="0"/>
                      <a:ext cx="2200532" cy="1012371"/>
                    </a:xfrm>
                    <a:prstGeom prst="rect">
                      <a:avLst/>
                    </a:prstGeom>
                  </pic:spPr>
                </pic:pic>
              </a:graphicData>
            </a:graphic>
            <wp14:sizeRelH relativeFrom="margin">
              <wp14:pctWidth>0</wp14:pctWidth>
            </wp14:sizeRelH>
            <wp14:sizeRelV relativeFrom="margin">
              <wp14:pctHeight>0</wp14:pctHeight>
            </wp14:sizeRelV>
          </wp:anchor>
        </w:drawing>
      </w:r>
    </w:p>
    <w:p w:rsidR="006B5480" w:rsidRDefault="006B5480" w:rsidP="006B5480">
      <w:pPr>
        <w:jc w:val="center"/>
      </w:pPr>
    </w:p>
    <w:p w:rsidR="006B5480" w:rsidRDefault="006B5480" w:rsidP="006B5480">
      <w:pPr>
        <w:jc w:val="center"/>
      </w:pPr>
    </w:p>
    <w:p w:rsidR="006B5480" w:rsidRDefault="006B5480" w:rsidP="006B5480">
      <w:pPr>
        <w:jc w:val="center"/>
      </w:pPr>
    </w:p>
    <w:p w:rsidR="006B5480" w:rsidRDefault="006B5480"/>
    <w:p w:rsidR="006B5480" w:rsidRDefault="006B5480"/>
    <w:p w:rsidR="006B5480" w:rsidRDefault="006B5480"/>
    <w:p w:rsidR="006B5480" w:rsidRDefault="006B548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p w:rsidR="00533960" w:rsidRDefault="00533960"/>
    <w:sdt>
      <w:sdtPr>
        <w:rPr>
          <w:rFonts w:asciiTheme="minorHAnsi" w:eastAsiaTheme="minorHAnsi" w:hAnsiTheme="minorHAnsi" w:cstheme="minorBidi"/>
          <w:color w:val="auto"/>
          <w:kern w:val="2"/>
          <w:sz w:val="24"/>
          <w:szCs w:val="24"/>
          <w14:ligatures w14:val="standardContextual"/>
        </w:rPr>
        <w:id w:val="-564100887"/>
        <w:docPartObj>
          <w:docPartGallery w:val="Table of Contents"/>
          <w:docPartUnique/>
        </w:docPartObj>
      </w:sdtPr>
      <w:sdtEndPr>
        <w:rPr>
          <w:rFonts w:ascii="Times New Roman" w:hAnsi="Times New Roman"/>
          <w:b/>
          <w:bCs/>
          <w:noProof/>
        </w:rPr>
      </w:sdtEndPr>
      <w:sdtContent>
        <w:p w:rsidR="009E0003" w:rsidRDefault="009E0003">
          <w:pPr>
            <w:pStyle w:val="TOCHeading"/>
          </w:pPr>
          <w:r>
            <w:t>Tabela e përmbajtjes</w:t>
          </w:r>
        </w:p>
        <w:p w:rsidR="00C06E6F" w:rsidRDefault="009E0003">
          <w:pPr>
            <w:pStyle w:val="TOC1"/>
            <w:tabs>
              <w:tab w:val="right" w:leader="dot" w:pos="9350"/>
            </w:tabs>
            <w:rPr>
              <w:rFonts w:asciiTheme="minorHAnsi"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10053343" w:history="1">
            <w:r w:rsidR="00C06E6F" w:rsidRPr="00BD48CA">
              <w:rPr>
                <w:rStyle w:val="Hyperlink"/>
                <w:noProof/>
              </w:rPr>
              <w:t>Hyrje</w:t>
            </w:r>
            <w:r w:rsidR="00C06E6F">
              <w:rPr>
                <w:noProof/>
                <w:webHidden/>
              </w:rPr>
              <w:tab/>
            </w:r>
            <w:r w:rsidR="00C06E6F">
              <w:rPr>
                <w:noProof/>
                <w:webHidden/>
              </w:rPr>
              <w:fldChar w:fldCharType="begin"/>
            </w:r>
            <w:r w:rsidR="00C06E6F">
              <w:rPr>
                <w:noProof/>
                <w:webHidden/>
              </w:rPr>
              <w:instrText xml:space="preserve"> PAGEREF _Toc210053343 \h </w:instrText>
            </w:r>
            <w:r w:rsidR="00C06E6F">
              <w:rPr>
                <w:noProof/>
                <w:webHidden/>
              </w:rPr>
            </w:r>
            <w:r w:rsidR="00C06E6F">
              <w:rPr>
                <w:noProof/>
                <w:webHidden/>
              </w:rPr>
              <w:fldChar w:fldCharType="separate"/>
            </w:r>
            <w:r w:rsidR="006F069C">
              <w:rPr>
                <w:noProof/>
                <w:webHidden/>
              </w:rPr>
              <w:t>4</w:t>
            </w:r>
            <w:r w:rsidR="00C06E6F">
              <w:rPr>
                <w:noProof/>
                <w:webHidden/>
              </w:rPr>
              <w:fldChar w:fldCharType="end"/>
            </w:r>
          </w:hyperlink>
        </w:p>
        <w:p w:rsidR="00C06E6F" w:rsidRDefault="00CA2102">
          <w:pPr>
            <w:pStyle w:val="TOC1"/>
            <w:tabs>
              <w:tab w:val="right" w:leader="dot" w:pos="9350"/>
            </w:tabs>
            <w:rPr>
              <w:rFonts w:asciiTheme="minorHAnsi" w:hAnsiTheme="minorHAnsi" w:cstheme="minorBidi"/>
              <w:noProof/>
              <w:kern w:val="2"/>
              <w:sz w:val="24"/>
              <w:szCs w:val="24"/>
              <w14:ligatures w14:val="standardContextual"/>
            </w:rPr>
          </w:pPr>
          <w:hyperlink w:anchor="_Toc210053344" w:history="1">
            <w:r w:rsidR="00C06E6F" w:rsidRPr="00BD48CA">
              <w:rPr>
                <w:rStyle w:val="Hyperlink"/>
                <w:noProof/>
              </w:rPr>
              <w:t>Vështrim i Përgjithshëm mbi Bashkinë</w:t>
            </w:r>
            <w:r w:rsidR="00C06E6F">
              <w:rPr>
                <w:noProof/>
                <w:webHidden/>
              </w:rPr>
              <w:tab/>
            </w:r>
            <w:r w:rsidR="00C06E6F">
              <w:rPr>
                <w:noProof/>
                <w:webHidden/>
              </w:rPr>
              <w:fldChar w:fldCharType="begin"/>
            </w:r>
            <w:r w:rsidR="00C06E6F">
              <w:rPr>
                <w:noProof/>
                <w:webHidden/>
              </w:rPr>
              <w:instrText xml:space="preserve"> PAGEREF _Toc210053344 \h </w:instrText>
            </w:r>
            <w:r w:rsidR="00C06E6F">
              <w:rPr>
                <w:noProof/>
                <w:webHidden/>
              </w:rPr>
            </w:r>
            <w:r w:rsidR="00C06E6F">
              <w:rPr>
                <w:noProof/>
                <w:webHidden/>
              </w:rPr>
              <w:fldChar w:fldCharType="separate"/>
            </w:r>
            <w:r w:rsidR="006F069C">
              <w:rPr>
                <w:noProof/>
                <w:webHidden/>
              </w:rPr>
              <w:t>5</w:t>
            </w:r>
            <w:r w:rsidR="00C06E6F">
              <w:rPr>
                <w:noProof/>
                <w:webHidden/>
              </w:rPr>
              <w:fldChar w:fldCharType="end"/>
            </w:r>
          </w:hyperlink>
        </w:p>
        <w:p w:rsidR="00C06E6F" w:rsidRDefault="00CA2102">
          <w:pPr>
            <w:pStyle w:val="TOC1"/>
            <w:tabs>
              <w:tab w:val="right" w:leader="dot" w:pos="9350"/>
            </w:tabs>
            <w:rPr>
              <w:rFonts w:asciiTheme="minorHAnsi" w:hAnsiTheme="minorHAnsi" w:cstheme="minorBidi"/>
              <w:noProof/>
              <w:kern w:val="2"/>
              <w:sz w:val="24"/>
              <w:szCs w:val="24"/>
              <w14:ligatures w14:val="standardContextual"/>
            </w:rPr>
          </w:pPr>
          <w:hyperlink w:anchor="_Toc210053345" w:history="1">
            <w:r w:rsidR="00C06E6F" w:rsidRPr="00BD48CA">
              <w:rPr>
                <w:rStyle w:val="Hyperlink"/>
                <w:noProof/>
              </w:rPr>
              <w:t>Të Dhënat e Përgjithshme të Bashkisë</w:t>
            </w:r>
            <w:r w:rsidR="00C06E6F">
              <w:rPr>
                <w:noProof/>
                <w:webHidden/>
              </w:rPr>
              <w:tab/>
            </w:r>
            <w:r w:rsidR="00C06E6F">
              <w:rPr>
                <w:noProof/>
                <w:webHidden/>
              </w:rPr>
              <w:fldChar w:fldCharType="begin"/>
            </w:r>
            <w:r w:rsidR="00C06E6F">
              <w:rPr>
                <w:noProof/>
                <w:webHidden/>
              </w:rPr>
              <w:instrText xml:space="preserve"> PAGEREF _Toc210053345 \h </w:instrText>
            </w:r>
            <w:r w:rsidR="00C06E6F">
              <w:rPr>
                <w:noProof/>
                <w:webHidden/>
              </w:rPr>
            </w:r>
            <w:r w:rsidR="00C06E6F">
              <w:rPr>
                <w:noProof/>
                <w:webHidden/>
              </w:rPr>
              <w:fldChar w:fldCharType="separate"/>
            </w:r>
            <w:r w:rsidR="006F069C">
              <w:rPr>
                <w:noProof/>
                <w:webHidden/>
              </w:rPr>
              <w:t>7</w:t>
            </w:r>
            <w:r w:rsidR="00C06E6F">
              <w:rPr>
                <w:noProof/>
                <w:webHidden/>
              </w:rPr>
              <w:fldChar w:fldCharType="end"/>
            </w:r>
          </w:hyperlink>
        </w:p>
        <w:p w:rsidR="00C06E6F" w:rsidRDefault="00CA2102">
          <w:pPr>
            <w:pStyle w:val="TOC1"/>
            <w:tabs>
              <w:tab w:val="right" w:leader="dot" w:pos="9350"/>
            </w:tabs>
            <w:rPr>
              <w:rFonts w:asciiTheme="minorHAnsi" w:hAnsiTheme="minorHAnsi" w:cstheme="minorBidi"/>
              <w:noProof/>
              <w:kern w:val="2"/>
              <w:sz w:val="24"/>
              <w:szCs w:val="24"/>
              <w14:ligatures w14:val="standardContextual"/>
            </w:rPr>
          </w:pPr>
          <w:hyperlink w:anchor="_Toc210053346" w:history="1">
            <w:r w:rsidR="00C06E6F" w:rsidRPr="00BD48CA">
              <w:rPr>
                <w:rStyle w:val="Hyperlink"/>
                <w:b/>
                <w:noProof/>
              </w:rPr>
              <w:t>Kategoria</w:t>
            </w:r>
            <w:r w:rsidR="00C06E6F" w:rsidRPr="00BD48CA">
              <w:rPr>
                <w:rStyle w:val="Hyperlink"/>
                <w:noProof/>
              </w:rPr>
              <w:t>: Shërbimet</w:t>
            </w:r>
            <w:r w:rsidR="00C06E6F">
              <w:rPr>
                <w:noProof/>
                <w:webHidden/>
              </w:rPr>
              <w:tab/>
            </w:r>
            <w:r w:rsidR="00C06E6F">
              <w:rPr>
                <w:noProof/>
                <w:webHidden/>
              </w:rPr>
              <w:fldChar w:fldCharType="begin"/>
            </w:r>
            <w:r w:rsidR="00C06E6F">
              <w:rPr>
                <w:noProof/>
                <w:webHidden/>
              </w:rPr>
              <w:instrText xml:space="preserve"> PAGEREF _Toc210053346 \h </w:instrText>
            </w:r>
            <w:r w:rsidR="00C06E6F">
              <w:rPr>
                <w:noProof/>
                <w:webHidden/>
              </w:rPr>
            </w:r>
            <w:r w:rsidR="00C06E6F">
              <w:rPr>
                <w:noProof/>
                <w:webHidden/>
              </w:rPr>
              <w:fldChar w:fldCharType="separate"/>
            </w:r>
            <w:r w:rsidR="006F069C">
              <w:rPr>
                <w:noProof/>
                <w:webHidden/>
              </w:rPr>
              <w:t>8</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47" w:history="1">
            <w:r w:rsidR="00C06E6F" w:rsidRPr="00BD48CA">
              <w:rPr>
                <w:rStyle w:val="Hyperlink"/>
                <w:noProof/>
              </w:rPr>
              <w:t>Arsimi bazë përfshirë arsimin parashkollor</w:t>
            </w:r>
            <w:r w:rsidR="00C06E6F">
              <w:rPr>
                <w:noProof/>
                <w:webHidden/>
              </w:rPr>
              <w:tab/>
            </w:r>
            <w:r w:rsidR="00C06E6F">
              <w:rPr>
                <w:noProof/>
                <w:webHidden/>
              </w:rPr>
              <w:fldChar w:fldCharType="begin"/>
            </w:r>
            <w:r w:rsidR="00C06E6F">
              <w:rPr>
                <w:noProof/>
                <w:webHidden/>
              </w:rPr>
              <w:instrText xml:space="preserve"> PAGEREF _Toc210053347 \h </w:instrText>
            </w:r>
            <w:r w:rsidR="00C06E6F">
              <w:rPr>
                <w:noProof/>
                <w:webHidden/>
              </w:rPr>
            </w:r>
            <w:r w:rsidR="00C06E6F">
              <w:rPr>
                <w:noProof/>
                <w:webHidden/>
              </w:rPr>
              <w:fldChar w:fldCharType="separate"/>
            </w:r>
            <w:r w:rsidR="006F069C">
              <w:rPr>
                <w:noProof/>
                <w:webHidden/>
              </w:rPr>
              <w:t>9</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48" w:history="1">
            <w:r w:rsidR="00C06E6F" w:rsidRPr="00BD48CA">
              <w:rPr>
                <w:rStyle w:val="Hyperlink"/>
                <w:noProof/>
              </w:rPr>
              <w:t>Arsimi i mesëm i përgjithshëm</w:t>
            </w:r>
            <w:r w:rsidR="00C06E6F">
              <w:rPr>
                <w:noProof/>
                <w:webHidden/>
              </w:rPr>
              <w:tab/>
            </w:r>
            <w:r w:rsidR="00C06E6F">
              <w:rPr>
                <w:noProof/>
                <w:webHidden/>
              </w:rPr>
              <w:fldChar w:fldCharType="begin"/>
            </w:r>
            <w:r w:rsidR="00C06E6F">
              <w:rPr>
                <w:noProof/>
                <w:webHidden/>
              </w:rPr>
              <w:instrText xml:space="preserve"> PAGEREF _Toc210053348 \h </w:instrText>
            </w:r>
            <w:r w:rsidR="00C06E6F">
              <w:rPr>
                <w:noProof/>
                <w:webHidden/>
              </w:rPr>
            </w:r>
            <w:r w:rsidR="00C06E6F">
              <w:rPr>
                <w:noProof/>
                <w:webHidden/>
              </w:rPr>
              <w:fldChar w:fldCharType="separate"/>
            </w:r>
            <w:r w:rsidR="006F069C">
              <w:rPr>
                <w:noProof/>
                <w:webHidden/>
              </w:rPr>
              <w:t>18</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49" w:history="1">
            <w:r w:rsidR="00C06E6F" w:rsidRPr="00BD48CA">
              <w:rPr>
                <w:rStyle w:val="Hyperlink"/>
                <w:noProof/>
              </w:rPr>
              <w:t>Menaxhimi i infrastrukturës së ujitjes dhe kullimit</w:t>
            </w:r>
            <w:r w:rsidR="00C06E6F">
              <w:rPr>
                <w:noProof/>
                <w:webHidden/>
              </w:rPr>
              <w:tab/>
            </w:r>
            <w:r w:rsidR="00C06E6F">
              <w:rPr>
                <w:noProof/>
                <w:webHidden/>
              </w:rPr>
              <w:fldChar w:fldCharType="begin"/>
            </w:r>
            <w:r w:rsidR="00C06E6F">
              <w:rPr>
                <w:noProof/>
                <w:webHidden/>
              </w:rPr>
              <w:instrText xml:space="preserve"> PAGEREF _Toc210053349 \h </w:instrText>
            </w:r>
            <w:r w:rsidR="00C06E6F">
              <w:rPr>
                <w:noProof/>
                <w:webHidden/>
              </w:rPr>
            </w:r>
            <w:r w:rsidR="00C06E6F">
              <w:rPr>
                <w:noProof/>
                <w:webHidden/>
              </w:rPr>
              <w:fldChar w:fldCharType="separate"/>
            </w:r>
            <w:r w:rsidR="006F069C">
              <w:rPr>
                <w:noProof/>
                <w:webHidden/>
              </w:rPr>
              <w:t>24</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0" w:history="1">
            <w:r w:rsidR="00C06E6F" w:rsidRPr="00BD48CA">
              <w:rPr>
                <w:rStyle w:val="Hyperlink"/>
                <w:noProof/>
              </w:rPr>
              <w:t>Administrimi i pyjeve dhe kullotave</w:t>
            </w:r>
            <w:r w:rsidR="00C06E6F">
              <w:rPr>
                <w:noProof/>
                <w:webHidden/>
              </w:rPr>
              <w:tab/>
            </w:r>
            <w:r w:rsidR="00C06E6F">
              <w:rPr>
                <w:noProof/>
                <w:webHidden/>
              </w:rPr>
              <w:fldChar w:fldCharType="begin"/>
            </w:r>
            <w:r w:rsidR="00C06E6F">
              <w:rPr>
                <w:noProof/>
                <w:webHidden/>
              </w:rPr>
              <w:instrText xml:space="preserve"> PAGEREF _Toc210053350 \h </w:instrText>
            </w:r>
            <w:r w:rsidR="00C06E6F">
              <w:rPr>
                <w:noProof/>
                <w:webHidden/>
              </w:rPr>
            </w:r>
            <w:r w:rsidR="00C06E6F">
              <w:rPr>
                <w:noProof/>
                <w:webHidden/>
              </w:rPr>
              <w:fldChar w:fldCharType="separate"/>
            </w:r>
            <w:r w:rsidR="006F069C">
              <w:rPr>
                <w:noProof/>
                <w:webHidden/>
              </w:rPr>
              <w:t>34</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1" w:history="1">
            <w:r w:rsidR="00C06E6F" w:rsidRPr="00BD48CA">
              <w:rPr>
                <w:rStyle w:val="Hyperlink"/>
                <w:noProof/>
              </w:rPr>
              <w:t>Mbrojtja nga zjarri dhe mbrojtja civile</w:t>
            </w:r>
            <w:r w:rsidR="00C06E6F">
              <w:rPr>
                <w:noProof/>
                <w:webHidden/>
              </w:rPr>
              <w:tab/>
            </w:r>
            <w:r w:rsidR="00C06E6F">
              <w:rPr>
                <w:noProof/>
                <w:webHidden/>
              </w:rPr>
              <w:fldChar w:fldCharType="begin"/>
            </w:r>
            <w:r w:rsidR="00C06E6F">
              <w:rPr>
                <w:noProof/>
                <w:webHidden/>
              </w:rPr>
              <w:instrText xml:space="preserve"> PAGEREF _Toc210053351 \h </w:instrText>
            </w:r>
            <w:r w:rsidR="00C06E6F">
              <w:rPr>
                <w:noProof/>
                <w:webHidden/>
              </w:rPr>
            </w:r>
            <w:r w:rsidR="00C06E6F">
              <w:rPr>
                <w:noProof/>
                <w:webHidden/>
              </w:rPr>
              <w:fldChar w:fldCharType="separate"/>
            </w:r>
            <w:r w:rsidR="006F069C">
              <w:rPr>
                <w:noProof/>
                <w:webHidden/>
              </w:rPr>
              <w:t>40</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2" w:history="1">
            <w:r w:rsidR="00C06E6F" w:rsidRPr="00BD48CA">
              <w:rPr>
                <w:rStyle w:val="Hyperlink"/>
                <w:noProof/>
              </w:rPr>
              <w:t>Menaxhimi i mbetjeve</w:t>
            </w:r>
            <w:r w:rsidR="00C06E6F">
              <w:rPr>
                <w:noProof/>
                <w:webHidden/>
              </w:rPr>
              <w:tab/>
            </w:r>
            <w:r w:rsidR="00C06E6F">
              <w:rPr>
                <w:noProof/>
                <w:webHidden/>
              </w:rPr>
              <w:fldChar w:fldCharType="begin"/>
            </w:r>
            <w:r w:rsidR="00C06E6F">
              <w:rPr>
                <w:noProof/>
                <w:webHidden/>
              </w:rPr>
              <w:instrText xml:space="preserve"> PAGEREF _Toc210053352 \h </w:instrText>
            </w:r>
            <w:r w:rsidR="00C06E6F">
              <w:rPr>
                <w:noProof/>
                <w:webHidden/>
              </w:rPr>
            </w:r>
            <w:r w:rsidR="00C06E6F">
              <w:rPr>
                <w:noProof/>
                <w:webHidden/>
              </w:rPr>
              <w:fldChar w:fldCharType="separate"/>
            </w:r>
            <w:r w:rsidR="006F069C">
              <w:rPr>
                <w:noProof/>
                <w:webHidden/>
              </w:rPr>
              <w:t>49</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3" w:history="1">
            <w:r w:rsidR="00C06E6F" w:rsidRPr="00BD48CA">
              <w:rPr>
                <w:rStyle w:val="Hyperlink"/>
                <w:noProof/>
              </w:rPr>
              <w:t>Përkujdesi Social</w:t>
            </w:r>
            <w:r w:rsidR="00C06E6F">
              <w:rPr>
                <w:noProof/>
                <w:webHidden/>
              </w:rPr>
              <w:tab/>
            </w:r>
            <w:r w:rsidR="00C06E6F">
              <w:rPr>
                <w:noProof/>
                <w:webHidden/>
              </w:rPr>
              <w:fldChar w:fldCharType="begin"/>
            </w:r>
            <w:r w:rsidR="00C06E6F">
              <w:rPr>
                <w:noProof/>
                <w:webHidden/>
              </w:rPr>
              <w:instrText xml:space="preserve"> PAGEREF _Toc210053353 \h </w:instrText>
            </w:r>
            <w:r w:rsidR="00C06E6F">
              <w:rPr>
                <w:noProof/>
                <w:webHidden/>
              </w:rPr>
            </w:r>
            <w:r w:rsidR="00C06E6F">
              <w:rPr>
                <w:noProof/>
                <w:webHidden/>
              </w:rPr>
              <w:fldChar w:fldCharType="separate"/>
            </w:r>
            <w:r w:rsidR="006F069C">
              <w:rPr>
                <w:noProof/>
                <w:webHidden/>
              </w:rPr>
              <w:t>55</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4" w:history="1">
            <w:r w:rsidR="00C06E6F" w:rsidRPr="00BD48CA">
              <w:rPr>
                <w:rStyle w:val="Hyperlink"/>
                <w:noProof/>
              </w:rPr>
              <w:t>Strehimi social</w:t>
            </w:r>
            <w:r w:rsidR="00C06E6F">
              <w:rPr>
                <w:noProof/>
                <w:webHidden/>
              </w:rPr>
              <w:tab/>
            </w:r>
            <w:r w:rsidR="00C06E6F">
              <w:rPr>
                <w:noProof/>
                <w:webHidden/>
              </w:rPr>
              <w:fldChar w:fldCharType="begin"/>
            </w:r>
            <w:r w:rsidR="00C06E6F">
              <w:rPr>
                <w:noProof/>
                <w:webHidden/>
              </w:rPr>
              <w:instrText xml:space="preserve"> PAGEREF _Toc210053354 \h </w:instrText>
            </w:r>
            <w:r w:rsidR="00C06E6F">
              <w:rPr>
                <w:noProof/>
                <w:webHidden/>
              </w:rPr>
            </w:r>
            <w:r w:rsidR="00C06E6F">
              <w:rPr>
                <w:noProof/>
                <w:webHidden/>
              </w:rPr>
              <w:fldChar w:fldCharType="separate"/>
            </w:r>
            <w:r w:rsidR="006F069C">
              <w:rPr>
                <w:noProof/>
                <w:webHidden/>
              </w:rPr>
              <w:t>61</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5" w:history="1">
            <w:r w:rsidR="00C06E6F" w:rsidRPr="00BD48CA">
              <w:rPr>
                <w:rStyle w:val="Hyperlink"/>
                <w:noProof/>
              </w:rPr>
              <w:t>Furnizimi me Ujë dhe Kanalizime</w:t>
            </w:r>
            <w:r w:rsidR="00C06E6F">
              <w:rPr>
                <w:noProof/>
                <w:webHidden/>
              </w:rPr>
              <w:tab/>
            </w:r>
            <w:r w:rsidR="00C06E6F">
              <w:rPr>
                <w:noProof/>
                <w:webHidden/>
              </w:rPr>
              <w:fldChar w:fldCharType="begin"/>
            </w:r>
            <w:r w:rsidR="00C06E6F">
              <w:rPr>
                <w:noProof/>
                <w:webHidden/>
              </w:rPr>
              <w:instrText xml:space="preserve"> PAGEREF _Toc210053355 \h </w:instrText>
            </w:r>
            <w:r w:rsidR="00C06E6F">
              <w:rPr>
                <w:noProof/>
                <w:webHidden/>
              </w:rPr>
            </w:r>
            <w:r w:rsidR="00C06E6F">
              <w:rPr>
                <w:noProof/>
                <w:webHidden/>
              </w:rPr>
              <w:fldChar w:fldCharType="separate"/>
            </w:r>
            <w:r w:rsidR="006F069C">
              <w:rPr>
                <w:noProof/>
                <w:webHidden/>
              </w:rPr>
              <w:t>63</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6" w:history="1">
            <w:r w:rsidR="00C06E6F" w:rsidRPr="00BD48CA">
              <w:rPr>
                <w:rStyle w:val="Hyperlink"/>
                <w:noProof/>
              </w:rPr>
              <w:t>Shërbimet Publike Vendore</w:t>
            </w:r>
            <w:r w:rsidR="00C06E6F">
              <w:rPr>
                <w:noProof/>
                <w:webHidden/>
              </w:rPr>
              <w:tab/>
            </w:r>
            <w:r w:rsidR="00C06E6F">
              <w:rPr>
                <w:noProof/>
                <w:webHidden/>
              </w:rPr>
              <w:fldChar w:fldCharType="begin"/>
            </w:r>
            <w:r w:rsidR="00C06E6F">
              <w:rPr>
                <w:noProof/>
                <w:webHidden/>
              </w:rPr>
              <w:instrText xml:space="preserve"> PAGEREF _Toc210053356 \h </w:instrText>
            </w:r>
            <w:r w:rsidR="00C06E6F">
              <w:rPr>
                <w:noProof/>
                <w:webHidden/>
              </w:rPr>
            </w:r>
            <w:r w:rsidR="00C06E6F">
              <w:rPr>
                <w:noProof/>
                <w:webHidden/>
              </w:rPr>
              <w:fldChar w:fldCharType="separate"/>
            </w:r>
            <w:r w:rsidR="006F069C">
              <w:rPr>
                <w:noProof/>
                <w:webHidden/>
              </w:rPr>
              <w:t>68</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7" w:history="1">
            <w:r w:rsidR="00C06E6F" w:rsidRPr="00BD48CA">
              <w:rPr>
                <w:rStyle w:val="Hyperlink"/>
                <w:noProof/>
              </w:rPr>
              <w:t>Rrjeti rrugor rural</w:t>
            </w:r>
            <w:r w:rsidR="00C06E6F">
              <w:rPr>
                <w:noProof/>
                <w:webHidden/>
              </w:rPr>
              <w:tab/>
            </w:r>
            <w:r w:rsidR="00C06E6F">
              <w:rPr>
                <w:noProof/>
                <w:webHidden/>
              </w:rPr>
              <w:fldChar w:fldCharType="begin"/>
            </w:r>
            <w:r w:rsidR="00C06E6F">
              <w:rPr>
                <w:noProof/>
                <w:webHidden/>
              </w:rPr>
              <w:instrText xml:space="preserve"> PAGEREF _Toc210053357 \h </w:instrText>
            </w:r>
            <w:r w:rsidR="00C06E6F">
              <w:rPr>
                <w:noProof/>
                <w:webHidden/>
              </w:rPr>
            </w:r>
            <w:r w:rsidR="00C06E6F">
              <w:rPr>
                <w:noProof/>
                <w:webHidden/>
              </w:rPr>
              <w:fldChar w:fldCharType="separate"/>
            </w:r>
            <w:r w:rsidR="006F069C">
              <w:rPr>
                <w:noProof/>
                <w:webHidden/>
              </w:rPr>
              <w:t>81</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8" w:history="1">
            <w:r w:rsidR="00C06E6F" w:rsidRPr="00BD48CA">
              <w:rPr>
                <w:rStyle w:val="Hyperlink"/>
                <w:noProof/>
              </w:rPr>
              <w:t>Planifikimi Urban Vendor</w:t>
            </w:r>
            <w:r w:rsidR="00C06E6F">
              <w:rPr>
                <w:noProof/>
                <w:webHidden/>
              </w:rPr>
              <w:tab/>
            </w:r>
            <w:r w:rsidR="00C06E6F">
              <w:rPr>
                <w:noProof/>
                <w:webHidden/>
              </w:rPr>
              <w:fldChar w:fldCharType="begin"/>
            </w:r>
            <w:r w:rsidR="00C06E6F">
              <w:rPr>
                <w:noProof/>
                <w:webHidden/>
              </w:rPr>
              <w:instrText xml:space="preserve"> PAGEREF _Toc210053358 \h </w:instrText>
            </w:r>
            <w:r w:rsidR="00C06E6F">
              <w:rPr>
                <w:noProof/>
                <w:webHidden/>
              </w:rPr>
            </w:r>
            <w:r w:rsidR="00C06E6F">
              <w:rPr>
                <w:noProof/>
                <w:webHidden/>
              </w:rPr>
              <w:fldChar w:fldCharType="separate"/>
            </w:r>
            <w:r w:rsidR="006F069C">
              <w:rPr>
                <w:noProof/>
                <w:webHidden/>
              </w:rPr>
              <w:t>93</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59" w:history="1">
            <w:r w:rsidR="00C06E6F" w:rsidRPr="00BD48CA">
              <w:rPr>
                <w:rStyle w:val="Hyperlink"/>
                <w:noProof/>
              </w:rPr>
              <w:t>Policia bashkiake</w:t>
            </w:r>
            <w:r w:rsidR="00C06E6F">
              <w:rPr>
                <w:noProof/>
                <w:webHidden/>
              </w:rPr>
              <w:tab/>
            </w:r>
            <w:r w:rsidR="00C06E6F">
              <w:rPr>
                <w:noProof/>
                <w:webHidden/>
              </w:rPr>
              <w:fldChar w:fldCharType="begin"/>
            </w:r>
            <w:r w:rsidR="00C06E6F">
              <w:rPr>
                <w:noProof/>
                <w:webHidden/>
              </w:rPr>
              <w:instrText xml:space="preserve"> PAGEREF _Toc210053359 \h </w:instrText>
            </w:r>
            <w:r w:rsidR="00C06E6F">
              <w:rPr>
                <w:noProof/>
                <w:webHidden/>
              </w:rPr>
            </w:r>
            <w:r w:rsidR="00C06E6F">
              <w:rPr>
                <w:noProof/>
                <w:webHidden/>
              </w:rPr>
              <w:fldChar w:fldCharType="separate"/>
            </w:r>
            <w:r w:rsidR="006F069C">
              <w:rPr>
                <w:noProof/>
                <w:webHidden/>
              </w:rPr>
              <w:t>102</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0" w:history="1">
            <w:r w:rsidR="00C06E6F" w:rsidRPr="00BD48CA">
              <w:rPr>
                <w:rStyle w:val="Hyperlink"/>
                <w:noProof/>
              </w:rPr>
              <w:t>Shërbimet bujqësore, inspektimi, siguria ushqimore dhe mbrojtja e konsumatorëve</w:t>
            </w:r>
            <w:r w:rsidR="00C06E6F">
              <w:rPr>
                <w:noProof/>
                <w:webHidden/>
              </w:rPr>
              <w:tab/>
            </w:r>
            <w:r w:rsidR="00C06E6F">
              <w:rPr>
                <w:noProof/>
                <w:webHidden/>
              </w:rPr>
              <w:fldChar w:fldCharType="begin"/>
            </w:r>
            <w:r w:rsidR="00C06E6F">
              <w:rPr>
                <w:noProof/>
                <w:webHidden/>
              </w:rPr>
              <w:instrText xml:space="preserve"> PAGEREF _Toc210053360 \h </w:instrText>
            </w:r>
            <w:r w:rsidR="00C06E6F">
              <w:rPr>
                <w:noProof/>
                <w:webHidden/>
              </w:rPr>
            </w:r>
            <w:r w:rsidR="00C06E6F">
              <w:rPr>
                <w:noProof/>
                <w:webHidden/>
              </w:rPr>
              <w:fldChar w:fldCharType="separate"/>
            </w:r>
            <w:r w:rsidR="006F069C">
              <w:rPr>
                <w:noProof/>
                <w:webHidden/>
              </w:rPr>
              <w:t>108</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1" w:history="1">
            <w:r w:rsidR="00C06E6F" w:rsidRPr="00BD48CA">
              <w:rPr>
                <w:rStyle w:val="Hyperlink"/>
                <w:noProof/>
              </w:rPr>
              <w:t>Shërbimet e kujdesit parësor</w:t>
            </w:r>
            <w:r w:rsidR="00C06E6F">
              <w:rPr>
                <w:noProof/>
                <w:webHidden/>
              </w:rPr>
              <w:tab/>
            </w:r>
            <w:r w:rsidR="00C06E6F">
              <w:rPr>
                <w:noProof/>
                <w:webHidden/>
              </w:rPr>
              <w:fldChar w:fldCharType="begin"/>
            </w:r>
            <w:r w:rsidR="00C06E6F">
              <w:rPr>
                <w:noProof/>
                <w:webHidden/>
              </w:rPr>
              <w:instrText xml:space="preserve"> PAGEREF _Toc210053361 \h </w:instrText>
            </w:r>
            <w:r w:rsidR="00C06E6F">
              <w:rPr>
                <w:noProof/>
                <w:webHidden/>
              </w:rPr>
            </w:r>
            <w:r w:rsidR="00C06E6F">
              <w:rPr>
                <w:noProof/>
                <w:webHidden/>
              </w:rPr>
              <w:fldChar w:fldCharType="separate"/>
            </w:r>
            <w:r w:rsidR="006F069C">
              <w:rPr>
                <w:noProof/>
                <w:webHidden/>
              </w:rPr>
              <w:t>111</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2" w:history="1">
            <w:r w:rsidR="00C06E6F" w:rsidRPr="00BD48CA">
              <w:rPr>
                <w:rStyle w:val="Hyperlink"/>
                <w:noProof/>
              </w:rPr>
              <w:t>Trashëgimia kulturore, eventet artistike dhe kulturore</w:t>
            </w:r>
            <w:r w:rsidR="00C06E6F">
              <w:rPr>
                <w:noProof/>
                <w:webHidden/>
              </w:rPr>
              <w:tab/>
            </w:r>
            <w:r w:rsidR="00C06E6F">
              <w:rPr>
                <w:noProof/>
                <w:webHidden/>
              </w:rPr>
              <w:fldChar w:fldCharType="begin"/>
            </w:r>
            <w:r w:rsidR="00C06E6F">
              <w:rPr>
                <w:noProof/>
                <w:webHidden/>
              </w:rPr>
              <w:instrText xml:space="preserve"> PAGEREF _Toc210053362 \h </w:instrText>
            </w:r>
            <w:r w:rsidR="00C06E6F">
              <w:rPr>
                <w:noProof/>
                <w:webHidden/>
              </w:rPr>
            </w:r>
            <w:r w:rsidR="00C06E6F">
              <w:rPr>
                <w:noProof/>
                <w:webHidden/>
              </w:rPr>
              <w:fldChar w:fldCharType="separate"/>
            </w:r>
            <w:r w:rsidR="006F069C">
              <w:rPr>
                <w:noProof/>
                <w:webHidden/>
              </w:rPr>
              <w:t>114</w:t>
            </w:r>
            <w:r w:rsidR="00C06E6F">
              <w:rPr>
                <w:noProof/>
                <w:webHidden/>
              </w:rPr>
              <w:fldChar w:fldCharType="end"/>
            </w:r>
          </w:hyperlink>
        </w:p>
        <w:p w:rsidR="00C06E6F" w:rsidRDefault="00CA2102">
          <w:pPr>
            <w:pStyle w:val="TOC1"/>
            <w:tabs>
              <w:tab w:val="right" w:leader="dot" w:pos="9350"/>
            </w:tabs>
            <w:rPr>
              <w:rFonts w:asciiTheme="minorHAnsi" w:hAnsiTheme="minorHAnsi" w:cstheme="minorBidi"/>
              <w:noProof/>
              <w:kern w:val="2"/>
              <w:sz w:val="24"/>
              <w:szCs w:val="24"/>
              <w14:ligatures w14:val="standardContextual"/>
            </w:rPr>
          </w:pPr>
          <w:hyperlink w:anchor="_Toc210053363" w:history="1">
            <w:r w:rsidR="00C06E6F" w:rsidRPr="00BD48CA">
              <w:rPr>
                <w:rStyle w:val="Hyperlink"/>
                <w:b/>
                <w:noProof/>
              </w:rPr>
              <w:t>Kategoria</w:t>
            </w:r>
            <w:r w:rsidR="00C06E6F" w:rsidRPr="00BD48CA">
              <w:rPr>
                <w:rStyle w:val="Hyperlink"/>
                <w:noProof/>
              </w:rPr>
              <w:t>: Mirëqeverisja</w:t>
            </w:r>
            <w:r w:rsidR="00C06E6F">
              <w:rPr>
                <w:noProof/>
                <w:webHidden/>
              </w:rPr>
              <w:tab/>
            </w:r>
            <w:r w:rsidR="00C06E6F">
              <w:rPr>
                <w:noProof/>
                <w:webHidden/>
              </w:rPr>
              <w:fldChar w:fldCharType="begin"/>
            </w:r>
            <w:r w:rsidR="00C06E6F">
              <w:rPr>
                <w:noProof/>
                <w:webHidden/>
              </w:rPr>
              <w:instrText xml:space="preserve"> PAGEREF _Toc210053363 \h </w:instrText>
            </w:r>
            <w:r w:rsidR="00C06E6F">
              <w:rPr>
                <w:noProof/>
                <w:webHidden/>
              </w:rPr>
            </w:r>
            <w:r w:rsidR="00C06E6F">
              <w:rPr>
                <w:noProof/>
                <w:webHidden/>
              </w:rPr>
              <w:fldChar w:fldCharType="separate"/>
            </w:r>
            <w:r w:rsidR="006F069C">
              <w:rPr>
                <w:noProof/>
                <w:webHidden/>
              </w:rPr>
              <w:t>3</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4" w:history="1">
            <w:r w:rsidR="00C06E6F" w:rsidRPr="00BD48CA">
              <w:rPr>
                <w:rStyle w:val="Hyperlink"/>
                <w:noProof/>
              </w:rPr>
              <w:t>Burimet Njerëzore</w:t>
            </w:r>
            <w:r w:rsidR="00C06E6F">
              <w:rPr>
                <w:noProof/>
                <w:webHidden/>
              </w:rPr>
              <w:tab/>
            </w:r>
            <w:r w:rsidR="00C06E6F">
              <w:rPr>
                <w:noProof/>
                <w:webHidden/>
              </w:rPr>
              <w:fldChar w:fldCharType="begin"/>
            </w:r>
            <w:r w:rsidR="00C06E6F">
              <w:rPr>
                <w:noProof/>
                <w:webHidden/>
              </w:rPr>
              <w:instrText xml:space="preserve"> PAGEREF _Toc210053364 \h </w:instrText>
            </w:r>
            <w:r w:rsidR="00C06E6F">
              <w:rPr>
                <w:noProof/>
                <w:webHidden/>
              </w:rPr>
            </w:r>
            <w:r w:rsidR="00C06E6F">
              <w:rPr>
                <w:noProof/>
                <w:webHidden/>
              </w:rPr>
              <w:fldChar w:fldCharType="separate"/>
            </w:r>
            <w:r w:rsidR="006F069C">
              <w:rPr>
                <w:noProof/>
                <w:webHidden/>
              </w:rPr>
              <w:t>4</w:t>
            </w:r>
            <w:r w:rsidR="00C06E6F">
              <w:rPr>
                <w:noProof/>
                <w:webHidden/>
              </w:rPr>
              <w:fldChar w:fldCharType="end"/>
            </w:r>
          </w:hyperlink>
        </w:p>
        <w:p w:rsidR="00C06E6F" w:rsidRDefault="00CA2102">
          <w:pPr>
            <w:pStyle w:val="TOC1"/>
            <w:tabs>
              <w:tab w:val="right" w:leader="dot" w:pos="9350"/>
            </w:tabs>
            <w:rPr>
              <w:rFonts w:asciiTheme="minorHAnsi" w:hAnsiTheme="minorHAnsi" w:cstheme="minorBidi"/>
              <w:noProof/>
              <w:kern w:val="2"/>
              <w:sz w:val="24"/>
              <w:szCs w:val="24"/>
              <w14:ligatures w14:val="standardContextual"/>
            </w:rPr>
          </w:pPr>
          <w:hyperlink w:anchor="_Toc210053365" w:history="1">
            <w:r w:rsidR="00C06E6F" w:rsidRPr="00BD48CA">
              <w:rPr>
                <w:rStyle w:val="Hyperlink"/>
                <w:b/>
                <w:noProof/>
              </w:rPr>
              <w:t>Kategoria</w:t>
            </w:r>
            <w:r w:rsidR="00C06E6F" w:rsidRPr="00BD48CA">
              <w:rPr>
                <w:rStyle w:val="Hyperlink"/>
                <w:noProof/>
              </w:rPr>
              <w:t>: Menaxhimi Financiar</w:t>
            </w:r>
            <w:r w:rsidR="00C06E6F">
              <w:rPr>
                <w:noProof/>
                <w:webHidden/>
              </w:rPr>
              <w:tab/>
            </w:r>
            <w:r w:rsidR="00C06E6F">
              <w:rPr>
                <w:noProof/>
                <w:webHidden/>
              </w:rPr>
              <w:fldChar w:fldCharType="begin"/>
            </w:r>
            <w:r w:rsidR="00C06E6F">
              <w:rPr>
                <w:noProof/>
                <w:webHidden/>
              </w:rPr>
              <w:instrText xml:space="preserve"> PAGEREF _Toc210053365 \h </w:instrText>
            </w:r>
            <w:r w:rsidR="00C06E6F">
              <w:rPr>
                <w:noProof/>
                <w:webHidden/>
              </w:rPr>
            </w:r>
            <w:r w:rsidR="00C06E6F">
              <w:rPr>
                <w:noProof/>
                <w:webHidden/>
              </w:rPr>
              <w:fldChar w:fldCharType="separate"/>
            </w:r>
            <w:r w:rsidR="006F069C">
              <w:rPr>
                <w:noProof/>
                <w:webHidden/>
              </w:rPr>
              <w:t>8</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6" w:history="1">
            <w:r w:rsidR="00C06E6F" w:rsidRPr="00BD48CA">
              <w:rPr>
                <w:rStyle w:val="Hyperlink"/>
                <w:noProof/>
              </w:rPr>
              <w:t>Të Ardhurat</w:t>
            </w:r>
            <w:r w:rsidR="00C06E6F">
              <w:rPr>
                <w:noProof/>
                <w:webHidden/>
              </w:rPr>
              <w:tab/>
            </w:r>
            <w:r w:rsidR="00C06E6F">
              <w:rPr>
                <w:noProof/>
                <w:webHidden/>
              </w:rPr>
              <w:fldChar w:fldCharType="begin"/>
            </w:r>
            <w:r w:rsidR="00C06E6F">
              <w:rPr>
                <w:noProof/>
                <w:webHidden/>
              </w:rPr>
              <w:instrText xml:space="preserve"> PAGEREF _Toc210053366 \h </w:instrText>
            </w:r>
            <w:r w:rsidR="00C06E6F">
              <w:rPr>
                <w:noProof/>
                <w:webHidden/>
              </w:rPr>
            </w:r>
            <w:r w:rsidR="00C06E6F">
              <w:rPr>
                <w:noProof/>
                <w:webHidden/>
              </w:rPr>
              <w:fldChar w:fldCharType="separate"/>
            </w:r>
            <w:r w:rsidR="006F069C">
              <w:rPr>
                <w:noProof/>
                <w:webHidden/>
              </w:rPr>
              <w:t>9</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7" w:history="1">
            <w:r w:rsidR="00C06E6F" w:rsidRPr="00BD48CA">
              <w:rPr>
                <w:rStyle w:val="Hyperlink"/>
                <w:noProof/>
              </w:rPr>
              <w:t>Buxheti</w:t>
            </w:r>
            <w:r w:rsidR="00C06E6F">
              <w:rPr>
                <w:noProof/>
                <w:webHidden/>
              </w:rPr>
              <w:tab/>
            </w:r>
            <w:r w:rsidR="00C06E6F">
              <w:rPr>
                <w:noProof/>
                <w:webHidden/>
              </w:rPr>
              <w:fldChar w:fldCharType="begin"/>
            </w:r>
            <w:r w:rsidR="00C06E6F">
              <w:rPr>
                <w:noProof/>
                <w:webHidden/>
              </w:rPr>
              <w:instrText xml:space="preserve"> PAGEREF _Toc210053367 \h </w:instrText>
            </w:r>
            <w:r w:rsidR="00C06E6F">
              <w:rPr>
                <w:noProof/>
                <w:webHidden/>
              </w:rPr>
            </w:r>
            <w:r w:rsidR="00C06E6F">
              <w:rPr>
                <w:noProof/>
                <w:webHidden/>
              </w:rPr>
              <w:fldChar w:fldCharType="separate"/>
            </w:r>
            <w:r w:rsidR="006F069C">
              <w:rPr>
                <w:noProof/>
                <w:webHidden/>
              </w:rPr>
              <w:t>14</w:t>
            </w:r>
            <w:r w:rsidR="00C06E6F">
              <w:rPr>
                <w:noProof/>
                <w:webHidden/>
              </w:rPr>
              <w:fldChar w:fldCharType="end"/>
            </w:r>
          </w:hyperlink>
        </w:p>
        <w:p w:rsidR="00C06E6F" w:rsidRDefault="00CA2102">
          <w:pPr>
            <w:pStyle w:val="TOC2"/>
            <w:tabs>
              <w:tab w:val="right" w:leader="dot" w:pos="9350"/>
            </w:tabs>
            <w:rPr>
              <w:rFonts w:asciiTheme="minorHAnsi" w:hAnsiTheme="minorHAnsi" w:cstheme="minorBidi"/>
              <w:noProof/>
              <w:kern w:val="2"/>
              <w:sz w:val="24"/>
              <w:szCs w:val="24"/>
              <w14:ligatures w14:val="standardContextual"/>
            </w:rPr>
          </w:pPr>
          <w:hyperlink w:anchor="_Toc210053368" w:history="1">
            <w:r w:rsidR="00C06E6F" w:rsidRPr="00BD48CA">
              <w:rPr>
                <w:rStyle w:val="Hyperlink"/>
                <w:noProof/>
              </w:rPr>
              <w:t>Shpenzime</w:t>
            </w:r>
            <w:r w:rsidR="00C06E6F">
              <w:rPr>
                <w:noProof/>
                <w:webHidden/>
              </w:rPr>
              <w:tab/>
            </w:r>
            <w:r w:rsidR="00C06E6F">
              <w:rPr>
                <w:noProof/>
                <w:webHidden/>
              </w:rPr>
              <w:fldChar w:fldCharType="begin"/>
            </w:r>
            <w:r w:rsidR="00C06E6F">
              <w:rPr>
                <w:noProof/>
                <w:webHidden/>
              </w:rPr>
              <w:instrText xml:space="preserve"> PAGEREF _Toc210053368 \h </w:instrText>
            </w:r>
            <w:r w:rsidR="00C06E6F">
              <w:rPr>
                <w:noProof/>
                <w:webHidden/>
              </w:rPr>
            </w:r>
            <w:r w:rsidR="00C06E6F">
              <w:rPr>
                <w:noProof/>
                <w:webHidden/>
              </w:rPr>
              <w:fldChar w:fldCharType="separate"/>
            </w:r>
            <w:r w:rsidR="006F069C">
              <w:rPr>
                <w:noProof/>
                <w:webHidden/>
              </w:rPr>
              <w:t>17</w:t>
            </w:r>
            <w:r w:rsidR="00C06E6F">
              <w:rPr>
                <w:noProof/>
                <w:webHidden/>
              </w:rPr>
              <w:fldChar w:fldCharType="end"/>
            </w:r>
          </w:hyperlink>
        </w:p>
        <w:p w:rsidR="009E0003" w:rsidRDefault="009E0003">
          <w:r>
            <w:rPr>
              <w:b/>
              <w:bCs/>
              <w:noProof/>
            </w:rPr>
            <w:fldChar w:fldCharType="end"/>
          </w:r>
        </w:p>
      </w:sdtContent>
    </w:sdt>
    <w:p w:rsidR="009E0003" w:rsidRDefault="009E0003">
      <w:pPr>
        <w:rPr>
          <w:lang w:val="nl-BE"/>
        </w:rPr>
      </w:pPr>
      <w:r>
        <w:rPr>
          <w:lang w:val="nl-BE"/>
        </w:rPr>
        <w:lastRenderedPageBreak/>
        <w:br w:type="page"/>
      </w:r>
    </w:p>
    <w:p w:rsidR="009E0003" w:rsidRPr="009E0003" w:rsidRDefault="009E0003" w:rsidP="009E0003">
      <w:pPr>
        <w:pStyle w:val="firstSessionStyle"/>
      </w:pPr>
      <w:bookmarkStart w:id="2" w:name="_Toc210053343"/>
      <w:r w:rsidRPr="009E0003">
        <w:lastRenderedPageBreak/>
        <w:t>Hyrje</w:t>
      </w:r>
      <w:bookmarkEnd w:id="2"/>
      <w:r w:rsidRPr="009E0003">
        <w:t xml:space="preserve"> </w:t>
      </w:r>
    </w:p>
    <w:p w:rsidR="009E0003" w:rsidRDefault="009E0003" w:rsidP="009E0003">
      <w:pPr>
        <w:rPr>
          <w:rFonts w:cs="Times New Roman"/>
        </w:rPr>
      </w:pPr>
    </w:p>
    <w:p w:rsidR="009E0003" w:rsidRPr="009E0003" w:rsidRDefault="009E0003" w:rsidP="00136FF4">
      <w:pPr>
        <w:rPr>
          <w:rFonts w:cs="Times New Roman"/>
        </w:rPr>
      </w:pPr>
      <w:r w:rsidRPr="009E0003">
        <w:rPr>
          <w:rFonts w:cs="Times New Roman"/>
        </w:rPr>
        <w:t>Ky raport paraqet një analizë të performancës së bashkisë, duke vlerësuar aspektet kryesore të ofrimit të shërbimeve. Në këtë dokument evidentohen arritjet e deritanishme, si dhe fushat ku nevojitet përmirësim.</w:t>
      </w:r>
    </w:p>
    <w:p w:rsidR="009E0003" w:rsidRPr="009E0003" w:rsidRDefault="009E0003" w:rsidP="00136FF4">
      <w:pPr>
        <w:rPr>
          <w:rFonts w:cs="Times New Roman"/>
        </w:rPr>
      </w:pPr>
      <w:r w:rsidRPr="009E0003">
        <w:rPr>
          <w:rFonts w:cs="Times New Roman"/>
        </w:rPr>
        <w:t>Qeverisja vendore në Shqipëri ka përjetuar ndryshime të rëndësishme pas miratimit të Ligjit nr.115, datë 31.07.2014 “Për ndarjen administrativo-territoriale”, i cili konsolidoi 373 bashki dhe komuna në 61 bashki, duke rritur efikasitetin dhe cilësinë e shërbimeve publike. Ky proces reformash, i shoqëruar nga Ligji nr.139/2015 “Për vetëqeverisjen vendore” dhe ligji “Për financat vendore” (2017), ka zgjeruar kompetencat e bashkisë dhe ka forcuar financat vendore, duke mundësuar rritjen e investimeve dhe autonominë fiskale.</w:t>
      </w:r>
    </w:p>
    <w:p w:rsidR="009E0003" w:rsidRPr="009E0003" w:rsidRDefault="009E0003" w:rsidP="00136FF4">
      <w:pPr>
        <w:rPr>
          <w:rFonts w:cs="Times New Roman"/>
        </w:rPr>
      </w:pPr>
      <w:r w:rsidRPr="009E0003">
        <w:rPr>
          <w:rFonts w:cs="Times New Roman"/>
        </w:rPr>
        <w:t>Miratimi i ligjit nr.139/2015 “Për vetëqeverisjen vendore”, i hapi rrugë procesit të decentralizimit të funksioneve:</w:t>
      </w:r>
    </w:p>
    <w:p w:rsidR="009E0003" w:rsidRPr="009E0003" w:rsidRDefault="009E0003" w:rsidP="00136FF4">
      <w:pPr>
        <w:rPr>
          <w:rFonts w:cs="Times New Roman"/>
        </w:rPr>
      </w:pPr>
      <w:r w:rsidRPr="009E0003">
        <w:rPr>
          <w:rFonts w:cs="Times New Roman"/>
        </w:rPr>
        <w:t>1. Administrimi dhe menaxhimi i pyjeve dhe kullotave;</w:t>
      </w:r>
    </w:p>
    <w:p w:rsidR="009E0003" w:rsidRPr="009E0003" w:rsidRDefault="009E0003" w:rsidP="00136FF4">
      <w:pPr>
        <w:rPr>
          <w:rFonts w:cs="Times New Roman"/>
        </w:rPr>
      </w:pPr>
      <w:r w:rsidRPr="009E0003">
        <w:rPr>
          <w:rFonts w:cs="Times New Roman"/>
        </w:rPr>
        <w:t>2. Administrimi dhe menaxhimi i kanaleve kulluese dhe ujitëse;</w:t>
      </w:r>
    </w:p>
    <w:p w:rsidR="009E0003" w:rsidRPr="009E0003" w:rsidRDefault="009E0003" w:rsidP="00136FF4">
      <w:pPr>
        <w:rPr>
          <w:rFonts w:cs="Times New Roman"/>
        </w:rPr>
      </w:pPr>
      <w:r w:rsidRPr="009E0003">
        <w:rPr>
          <w:rFonts w:cs="Times New Roman"/>
        </w:rPr>
        <w:t>3. Administrimi dhe menaxhimi i arsimit parashkollor;</w:t>
      </w:r>
    </w:p>
    <w:p w:rsidR="009E0003" w:rsidRPr="009E0003" w:rsidRDefault="009E0003" w:rsidP="00136FF4">
      <w:pPr>
        <w:rPr>
          <w:rFonts w:cs="Times New Roman"/>
        </w:rPr>
      </w:pPr>
      <w:r w:rsidRPr="009E0003">
        <w:rPr>
          <w:rFonts w:cs="Times New Roman"/>
        </w:rPr>
        <w:t>4. Administrimi dhe menaxhimi i rrugëve rurale;</w:t>
      </w:r>
    </w:p>
    <w:p w:rsidR="009E0003" w:rsidRPr="009E0003" w:rsidRDefault="009E0003" w:rsidP="00136FF4">
      <w:pPr>
        <w:rPr>
          <w:rFonts w:cs="Times New Roman"/>
        </w:rPr>
      </w:pPr>
      <w:r w:rsidRPr="009E0003">
        <w:rPr>
          <w:rFonts w:cs="Times New Roman"/>
        </w:rPr>
        <w:t>5. Administrimi dhe menaxhimi i mbrojtjes nga zjarri dhe shpëtimi.</w:t>
      </w:r>
    </w:p>
    <w:p w:rsidR="009E0003" w:rsidRPr="009E0003" w:rsidRDefault="009E0003" w:rsidP="00136FF4">
      <w:pPr>
        <w:rPr>
          <w:rFonts w:cs="Times New Roman"/>
        </w:rPr>
      </w:pPr>
      <w:r w:rsidRPr="009E0003">
        <w:rPr>
          <w:rFonts w:cs="Times New Roman"/>
        </w:rPr>
        <w:t>Vlerësimi i performancës në këtë raport bazohet kryesisht në të dhënat vetëdeklaruese të bashkisë, të mbledhura përmes një procesi konsultues me ekspertë tematikë.</w:t>
      </w:r>
    </w:p>
    <w:p w:rsidR="009E0003" w:rsidRDefault="009E0003" w:rsidP="00136FF4">
      <w:r>
        <w:br w:type="page"/>
      </w:r>
    </w:p>
    <w:p w:rsidR="009E0003" w:rsidRPr="009E0003" w:rsidRDefault="00D067CE" w:rsidP="009E0003">
      <w:pPr>
        <w:pStyle w:val="firstSessionStyle"/>
      </w:pPr>
      <w:bookmarkStart w:id="3" w:name="_Toc207786027"/>
      <w:bookmarkStart w:id="4" w:name="_Toc210053344"/>
      <w:r w:rsidRPr="00D067CE">
        <w:rPr>
          <w:noProof/>
          <w:lang w:val="en-US"/>
        </w:rPr>
        <w:lastRenderedPageBreak/>
        <mc:AlternateContent>
          <mc:Choice Requires="wps">
            <w:drawing>
              <wp:anchor distT="45720" distB="45720" distL="114300" distR="114300" simplePos="0" relativeHeight="251675648" behindDoc="0" locked="0" layoutInCell="1" allowOverlap="1" wp14:anchorId="176066D7" wp14:editId="6855F532">
                <wp:simplePos x="0" y="0"/>
                <wp:positionH relativeFrom="column">
                  <wp:posOffset>-47625</wp:posOffset>
                </wp:positionH>
                <wp:positionV relativeFrom="paragraph">
                  <wp:posOffset>504825</wp:posOffset>
                </wp:positionV>
                <wp:extent cx="5829300" cy="3343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3432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bookmarkStart w:id="5" w:name="bashkia_foto"/>
                            <w:bookmarkEnd w:id="5"/>
                            <w:r>
                              <w:rPr>
                                <w:noProof/>
                              </w:rPr>
                              <w:drawing>
                                <wp:inline distT="0" distB="0" distL="0" distR="0" wp14:anchorId="1DA8C552" wp14:editId="6EA6AC4F">
                                  <wp:extent cx="5630000" cy="3260000"/>
                                  <wp:effectExtent l="0" t="0" r="0" b="0"/>
                                  <wp:docPr id="1366767491" name="Picture 136676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 cstate="print"/>
                                          <a:stretch>
                                            <a:fillRect/>
                                          </a:stretch>
                                        </pic:blipFill>
                                        <pic:spPr>
                                          <a:xfrm>
                                            <a:off x="0" y="0"/>
                                            <a:ext cx="56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066D7" id="_x0000_s1029" type="#_x0000_t202" style="position:absolute;left:0;text-align:left;margin-left:-3.75pt;margin-top:39.75pt;width:459pt;height:263.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" filled="f" stroked="f">
                <v:textbox>
                  <w:txbxContent>
                    <w:p w:rsidR="00A8516B" w:rsidRDefault="00A8516B">
                      <w:bookmarkStart w:id="6" w:name="bashkia_foto"/>
                      <w:bookmarkEnd w:id="6"/>
                      <w:r>
                        <w:rPr>
                          <w:noProof/>
                        </w:rPr>
                        <w:drawing>
                          <wp:inline distT="0" distB="0" distL="0" distR="0" wp14:anchorId="1DA8C552" wp14:editId="6EA6AC4F">
                            <wp:extent cx="5630000" cy="3260000"/>
                            <wp:effectExtent l="0" t="0" r="0" b="0"/>
                            <wp:docPr id="1366767491" name="Picture 136676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 cstate="print"/>
                                    <a:stretch>
                                      <a:fillRect/>
                                    </a:stretch>
                                  </pic:blipFill>
                                  <pic:spPr>
                                    <a:xfrm>
                                      <a:off x="0" y="0"/>
                                      <a:ext cx="5630000" cy="3260000"/>
                                    </a:xfrm>
                                    <a:prstGeom prst="borderCallout3">
                                      <a:avLst/>
                                    </a:prstGeom>
                                  </pic:spPr>
                                </pic:pic>
                              </a:graphicData>
                            </a:graphic>
                          </wp:inline>
                        </w:drawing>
                      </w:r>
                    </w:p>
                  </w:txbxContent>
                </v:textbox>
                <w10:wrap type="square"/>
              </v:shape>
            </w:pict>
          </mc:Fallback>
        </mc:AlternateContent>
      </w:r>
      <w:r w:rsidR="009E0003" w:rsidRPr="009E0003">
        <w:t>Vështrim i Përgjithshëm mbi Bashkinë</w:t>
      </w:r>
      <w:bookmarkEnd w:id="3"/>
      <w:bookmarkEnd w:id="4"/>
    </w:p>
    <w:p w:rsidR="00D067CE" w:rsidRDefault="00D067CE" w:rsidP="009E0003">
      <w:pPr>
        <w:rPr>
          <w:lang w:val="sq-AL"/>
        </w:rPr>
      </w:pPr>
    </w:p>
    <w:p w:rsidR="009E0003" w:rsidRDefault="009E0003" w:rsidP="009E0003">
      <w:pPr>
        <w:rPr>
          <w:lang w:val="sq-AL"/>
        </w:rPr>
      </w:pPr>
      <w:bookmarkStart w:id="7" w:name="veshtrim_pergjithshem"/>
      <w:bookmarkEnd w:id="7"/>
      <w:r>
        <w:t>Strategjia detajohet në drejtime kryesore të zhvillimit. 1. Zhvillimi ekonomik  2. Strukturimi dhe gjallërimi i vendbanimeve 3. Aspektet kulturore, rekreative, sportive dhe ambientale</w:t>
      </w:r>
    </w:p>
    <w:p w:rsidR="009E0003" w:rsidRDefault="009E0003" w:rsidP="009E0003">
      <w:pPr>
        <w:rPr>
          <w:lang w:val="sq-AL"/>
        </w:rPr>
      </w:pPr>
    </w:p>
    <w:p w:rsidR="009E0003" w:rsidRDefault="009E0003" w:rsidP="009E0003">
      <w:pPr>
        <w:rPr>
          <w:lang w:val="sq-AL"/>
        </w:rPr>
      </w:pPr>
      <w:bookmarkStart w:id="8" w:name="veshtrim_pergjithshem1"/>
      <w:bookmarkEnd w:id="8"/>
      <w:r>
        <w:t xml:space="preserve">Bashkia e Roskovecit, ndodhur ndërmjet poleve të zhvillimit të Fierit dhe Beratit, e avantazhuar nga pozicioni territorial midis fushës së Myzeqësë dhe kodrave të Mallakastrës, do të nxisë zhvillimin e qëndrueshëm social ekonomik, duke u përqendruar në zhvillimin e bujqësisë, blegtorisë dhe duke krijuar kushte për zhvillimin e agrobiznesit dhe turizmit kulturor . Bashkia Roskovec perbehet nga 4 njesi administrative qe perfshijne 14 fshatra dhe qytetin e Roskovecit.Me nje popullsi 32,276 banore dhe me siperfaqe prej rreth 118 km2. Bashkia Roskovec eshte nje nga  61 bashki të konsoliduara,te krijuar nga Reforma Teritoriale e vitit 2015, e cila si gjithe te tjerat përballet me sfidat e pushtetit vendor, të shumëfishuara si pasojë e rritjes së sipërfaqes dhe kompleksitetit territorial, shtimit të detyrave të reja nga reforma e decentralizimit, dhe nevojës gjithmonë në rritje për zhvillim dhe mirëqenie sociale dhe ekonomike. Në këto kushte, Bashkia e Roskovecit, për t`iu përgjigjur sa detyrimeve ligjore, aq edhe sfidave reale, ka punuar intensivisht </w:t>
      </w:r>
      <w:r>
        <w:lastRenderedPageBreak/>
        <w:t>për të përgatititjen të Planit të Përgjithshëm Vendor të Territorit të bashkisë Roskovec. Mbeshtetur në ligjin nr. 107/2014, datë 31.07.2014, “Për Planifikimin e dhe Zhvillimin e Territorit”, i ndryshuar dhe në aktet nënligjore të tij ka nje Plane Operacional te Zhvillimit dhe Plane Zhvillimi ne sektore te vecante. Në vijim, Bashkia e Roskovecit , duke filluar qe nga viti 2019 , ka filluar punen për të kaluar në hapat ligjore e teknike të hartimit të planit të përgjithshëm (përdorimi i tokës, infrastrukturat, mjedisi) dhe të rregullores së tij. Finalizimi i planit të përgjithshëm të territorit do të jetë një nga arritjet më të para të një bashkie të re, të krijuar pas reformës territoriale dhe me dëshirën e vullnetin për t`iu përgjigjur nevojave edhe afatgjata të qytetarëve, si dhe për të përballur sfidat e zhvillimit të qëndrueshëm të territorit , pune e cila do te perfundoj gjate ketij viti.</w:t>
      </w:r>
    </w:p>
    <w:p w:rsidR="009E0003" w:rsidRDefault="009E0003" w:rsidP="009E0003">
      <w:pPr>
        <w:rPr>
          <w:lang w:val="sq-AL"/>
        </w:rPr>
      </w:pPr>
    </w:p>
    <w:p w:rsidR="009E0003" w:rsidRDefault="009E0003" w:rsidP="009E0003">
      <w:pPr>
        <w:rPr>
          <w:lang w:val="sq-AL"/>
        </w:rPr>
      </w:pPr>
      <w:bookmarkStart w:id="9" w:name="veshtrim_pergjithshem2"/>
      <w:bookmarkEnd w:id="9"/>
    </w:p>
    <w:p w:rsidR="009E0003" w:rsidRPr="009E0003" w:rsidRDefault="009E0003" w:rsidP="009E0003">
      <w:r>
        <w:br w:type="page"/>
      </w:r>
    </w:p>
    <w:p w:rsidR="009E0003" w:rsidRDefault="009E0003" w:rsidP="009E0003">
      <w:pPr>
        <w:pStyle w:val="firstSessionStyle"/>
      </w:pPr>
      <w:bookmarkStart w:id="10" w:name="_Toc207786028"/>
      <w:bookmarkStart w:id="11" w:name="_Toc210053345"/>
      <w:r>
        <w:lastRenderedPageBreak/>
        <w:t>Të Dhënat e Përgjithshme të Bashkisë</w:t>
      </w:r>
      <w:bookmarkEnd w:id="10"/>
      <w:bookmarkEnd w:id="11"/>
    </w:p>
    <w:p w:rsidR="009E0003" w:rsidRDefault="009E0003" w:rsidP="009E0003">
      <w:pPr>
        <w:rPr>
          <w:lang w:val="sq-AL"/>
        </w:rPr>
      </w:pPr>
    </w:p>
    <w:p w:rsidR="00EF701A" w:rsidRDefault="00BA3795">
      <w:pPr>
        <w:pStyle w:val="NormalWeb"/>
        <w:divId w:val="1524321589"/>
      </w:pPr>
      <w:bookmarkStart w:id="12" w:name="interpretim_te_dhena_te_pergjithshme"/>
      <w:bookmarkEnd w:id="12"/>
      <w:r>
        <w:t>Bashkia Roskovec është një njësi administrative e karakterizuar nga një strukturë popullsie kryesisht rurale, me përqendrim më të vogël në qendrën urbane të qytetit të Roskovecit. Popullsia e saj ka një shpërndarje të qëndrueshme gjatë viteve të fundit, megjithatë vërehen tendenca migrimi, si brenda vendit drejt qyteteve më të mëdha, ashtu edhe jashtë shtetit, për arsye ekonomike dhe arsimore.</w:t>
      </w:r>
    </w:p>
    <w:p w:rsidR="00EF701A" w:rsidRDefault="00BA3795">
      <w:pPr>
        <w:pStyle w:val="NormalWeb"/>
        <w:divId w:val="1524321589"/>
      </w:pPr>
      <w:r>
        <w:t>Përbërja demografike tregon një kombinim të të rinjve dhe të moshuarve, duke reflektuar një proces gradual të plakjes së popullsisë, si dhe sfidat që kjo sjell për zhvillimin ekonomik dhe ofrimin e shërbimeve publike. Popullsia e bashkisë Roskovec është e lidhur ngushtë me aktivitetet bujqësore dhe ekonominë lokale, duke pasur ndikim të drejtpërdrejtë në planifikimin e infrastrukturës, arsimit, shëndetësisë dhe zhvillimin e komunitetit.</w:t>
      </w:r>
    </w:p>
    <w:p w:rsidR="009E0003" w:rsidRDefault="009E0003" w:rsidP="009E0003">
      <w:pPr>
        <w:rPr>
          <w:lang w:val="sq-AL"/>
        </w:rPr>
      </w:pPr>
    </w:p>
    <w:p w:rsidR="009E0003" w:rsidRDefault="009E0003" w:rsidP="009E0003">
      <w:pPr>
        <w:rPr>
          <w:lang w:val="sq-AL"/>
        </w:rPr>
      </w:pPr>
      <w:bookmarkStart w:id="13" w:name="te_dhena_pergjithshme_bashkia"/>
      <w:bookmarkEnd w:id="13"/>
    </w:p>
    <w:p w:rsidR="0093475F" w:rsidRPr="00017001" w:rsidRDefault="005F7436" w:rsidP="006239CD">
      <w:pPr>
        <w:rPr>
          <w:lang w:val="it-IT"/>
        </w:rPr>
      </w:pPr>
      <w:r>
        <w:rPr>
          <w:lang w:val="it-IT"/>
        </w:rPr>
        <w:br w:type="page"/>
      </w:r>
    </w:p>
    <w:p w:rsidR="0093475F" w:rsidRDefault="00A96BCD" w:rsidP="005F7436">
      <w:pPr>
        <w:pStyle w:val="firstSessionStyle"/>
      </w:pPr>
      <w:bookmarkStart w:id="14" w:name="_Toc210053346"/>
      <w:r w:rsidRPr="00A96BCD">
        <w:rPr>
          <w:b/>
        </w:rPr>
        <w:lastRenderedPageBreak/>
        <w:t>Kategoria</w:t>
      </w:r>
      <w:r>
        <w:t>: Shërbimet</w:t>
      </w:r>
      <w:bookmarkEnd w:id="14"/>
    </w:p>
    <w:p w:rsidR="00400814" w:rsidRPr="00400814" w:rsidRDefault="00400814" w:rsidP="00400814">
      <w:pPr>
        <w:spacing w:before="100" w:beforeAutospacing="1" w:after="100" w:afterAutospacing="1" w:line="240" w:lineRule="auto"/>
        <w:rPr>
          <w:rFonts w:eastAsia="Times New Roman" w:cs="Times New Roman"/>
          <w:kern w:val="0"/>
          <w14:ligatures w14:val="none"/>
        </w:rPr>
      </w:pPr>
      <w:r w:rsidRPr="00400814">
        <w:rPr>
          <w:rFonts w:eastAsia="Times New Roman" w:cs="Times New Roman"/>
          <w:bCs/>
          <w:kern w:val="0"/>
          <w14:ligatures w14:val="none"/>
        </w:rPr>
        <w:t>Monitorimi i performancës së shërbimeve</w:t>
      </w:r>
      <w:r w:rsidRPr="00400814">
        <w:rPr>
          <w:rFonts w:eastAsia="Times New Roman" w:cs="Times New Roman"/>
          <w:kern w:val="0"/>
          <w14:ligatures w14:val="none"/>
        </w:rPr>
        <w:t xml:space="preserve"> është një funksion thelbësor për të siguruar cilësinë, qasjen dhe efektivitetin e shërbimeve që ofrohen nga njësitë e vetëqeverisjes vendore. Ky proces ndihmon në vle</w:t>
      </w:r>
      <w:r>
        <w:rPr>
          <w:rFonts w:eastAsia="Times New Roman" w:cs="Times New Roman"/>
          <w:kern w:val="0"/>
          <w14:ligatures w14:val="none"/>
        </w:rPr>
        <w:t>rësimin e mënyrës se si bashkia përmbush përgjegjësitë e saj</w:t>
      </w:r>
      <w:r w:rsidRPr="00400814">
        <w:rPr>
          <w:rFonts w:eastAsia="Times New Roman" w:cs="Times New Roman"/>
          <w:kern w:val="0"/>
          <w14:ligatures w14:val="none"/>
        </w:rPr>
        <w:t xml:space="preserve"> ndaj qytetarëve, duke u bazuar në parimet e transparencës, llogaridhënies dhe përmirësimit të vazhdueshëm.</w:t>
      </w:r>
    </w:p>
    <w:p w:rsidR="00400814" w:rsidRPr="00400814" w:rsidRDefault="00400814" w:rsidP="00400814">
      <w:pPr>
        <w:spacing w:before="100" w:beforeAutospacing="1" w:after="100" w:afterAutospacing="1" w:line="240" w:lineRule="auto"/>
        <w:rPr>
          <w:rFonts w:eastAsia="Times New Roman" w:cs="Times New Roman"/>
          <w:kern w:val="0"/>
          <w14:ligatures w14:val="none"/>
        </w:rPr>
      </w:pPr>
      <w:r w:rsidRPr="00400814">
        <w:rPr>
          <w:rFonts w:eastAsia="Times New Roman" w:cs="Times New Roman"/>
          <w:kern w:val="0"/>
          <w14:ligatures w14:val="none"/>
        </w:rPr>
        <w:t>Përpara shfaqjes së treguesve të një raporti performance, është e rëndësishme të theksohet se monitorimi i shërbimeve nuk kufizohet vetëm në matjen e rezultateve, por përfshin edhe analizën e burimeve të përdorura, procedurave të ndjekura dhe ndikimit real që shërbimet kanë tek komuniteti.</w:t>
      </w:r>
    </w:p>
    <w:p w:rsidR="00400814" w:rsidRPr="00400814" w:rsidRDefault="00400814" w:rsidP="00400814">
      <w:pPr>
        <w:spacing w:before="100" w:beforeAutospacing="1" w:after="100" w:afterAutospacing="1" w:line="240" w:lineRule="auto"/>
        <w:rPr>
          <w:rFonts w:eastAsia="Times New Roman" w:cs="Times New Roman"/>
          <w:kern w:val="0"/>
          <w14:ligatures w14:val="none"/>
        </w:rPr>
      </w:pPr>
      <w:r w:rsidRPr="00400814">
        <w:rPr>
          <w:rFonts w:eastAsia="Times New Roman" w:cs="Times New Roman"/>
          <w:kern w:val="0"/>
          <w14:ligatures w14:val="none"/>
        </w:rPr>
        <w:t>Kjo kategori mbulon disa fusha të rëndësishme të ofrimit të shërbimeve vendore, të cilat lidhen me cilësinë, efikasitetin dhe kënaqësinë e qytetarëve. Vlerësimi i tyre mundëson identifikimin e pikave të forta, sfidave dhe hapësirave për përmirësim në menaxhimin e shërbimeve publike.</w:t>
      </w:r>
    </w:p>
    <w:p w:rsidR="00400814" w:rsidRPr="00400814" w:rsidRDefault="00400814" w:rsidP="00400814">
      <w:pPr>
        <w:spacing w:before="100" w:beforeAutospacing="1" w:after="100" w:afterAutospacing="1" w:line="240" w:lineRule="auto"/>
        <w:rPr>
          <w:rFonts w:eastAsia="Times New Roman" w:cs="Times New Roman"/>
          <w:kern w:val="0"/>
          <w14:ligatures w14:val="none"/>
        </w:rPr>
      </w:pPr>
      <w:r w:rsidRPr="00400814">
        <w:rPr>
          <w:rFonts w:eastAsia="Times New Roman" w:cs="Times New Roman"/>
          <w:kern w:val="0"/>
          <w14:ligatures w14:val="none"/>
        </w:rPr>
        <w:t>Treguesit që përfshihen në këtë kategori do të ndihmojnë në kuptimin e performancës së bashkive në ofrimin e shërbimeve dhe do të shërbejnë si bazë për vendimmarrje më të informuar dhe orientim drejt rezultateve më të mira për qytetarët.</w:t>
      </w:r>
    </w:p>
    <w:p w:rsidR="0093475F" w:rsidRDefault="0093475F" w:rsidP="0093475F">
      <w:pPr>
        <w:rPr>
          <w:b/>
          <w:bCs/>
          <w:lang w:val="nl-BE"/>
        </w:rPr>
      </w:pPr>
      <w:bookmarkStart w:id="15" w:name="Sherbimet"/>
      <w:bookmarkEnd w:id="15"/>
    </w:p>
    <w:p w:rsidR="00EF701A" w:rsidRDefault="00BA3795" w:rsidP="00DB2B53">
      <w:pPr>
        <w:pStyle w:val="sherbimiemristyle"/>
        <w:jc w:val="left"/>
      </w:pPr>
      <w:bookmarkStart w:id="16" w:name="emri_programi"/>
      <w:bookmarkStart w:id="17" w:name="_Toc210053347"/>
      <w:bookmarkEnd w:id="16"/>
      <w:r>
        <w:lastRenderedPageBreak/>
        <w:t>Arsimi bazë përfshirë arsimin parashkollor</w:t>
      </w:r>
      <w:bookmarkEnd w:id="17"/>
    </w:p>
    <w:p w:rsidR="00EF701A" w:rsidRDefault="00EF701A">
      <w:pPr>
        <w:rPr>
          <w:color w:val="0A2F41" w:themeColor="accent1" w:themeShade="80"/>
        </w:rPr>
      </w:pPr>
    </w:p>
    <w:p w:rsidR="00EF701A" w:rsidRDefault="00BA3795" w:rsidP="00BA3795">
      <w:pPr>
        <w:pStyle w:val="paragraphstyle"/>
      </w:pPr>
      <w:bookmarkStart w:id="18" w:name="pershkrim_programi"/>
      <w:bookmarkEnd w:id="18"/>
      <w:r>
        <w:t>Arsimi parashkollor u transferua në vitin 2016. Ligji 139/2015, i ndryshuar përcakton se bashkitë janë përgjegjëse kryesisht për ndërtimin, rehabilitimin dhe mirëmbajtjen e ndërtesave për arsimin parauniversitar, përveç shkollave profesionale, si dhe për administrimin dhe rregullimin e arsimit parashkollor publik, kopshtet. Shumë aspekte të këtij shërbimi trajtohen në bashkëpunim me qeverinë qendrore.   Ky funksion nuk është financuar mjaftueshëm, duke ndikuar në cilësinë dhe disponueshmërinë e arsimit.  Gjendja e shërbimit arsimor në Shqipëri u vlerësua duke përdorur tre tregues kryesorë: normat e regjistrimit të arsimit parashkollor për fëmijët deri në 6 vjeç, niveli i mirëmbajtjes së objekteve arsimore, dhe raporti fëmijë-mësues.</w:t>
      </w:r>
    </w:p>
    <w:p w:rsidR="00EF701A" w:rsidRDefault="00EF701A" w:rsidP="00BA3795">
      <w:pPr>
        <w:pStyle w:val="paragraphstyle"/>
      </w:pPr>
    </w:p>
    <w:p w:rsidR="00EF701A" w:rsidRDefault="00BA3795" w:rsidP="00BA3795">
      <w:pPr>
        <w:pStyle w:val="paragraphstyle"/>
        <w:sectPr w:rsidR="00EF701A" w:rsidSect="007477E5">
          <w:headerReference w:type="default" r:id="rId14"/>
          <w:footerReference w:type="default" r:id="rId15"/>
          <w:pgSz w:w="12240" w:h="15840"/>
          <w:pgMar w:top="1440" w:right="1440" w:bottom="1440" w:left="1440" w:header="720" w:footer="720" w:gutter="0"/>
          <w:cols w:space="720"/>
          <w:titlePg/>
          <w:docGrid w:linePitch="360"/>
        </w:sectPr>
      </w:pPr>
      <w:r w:rsidRPr="007F55F6">
        <w:rPr>
          <w:noProof/>
        </w:rPr>
        <mc:AlternateContent>
          <mc:Choice Requires="wps">
            <w:drawing>
              <wp:anchor distT="45720" distB="45720" distL="114300" distR="114300" simplePos="0" relativeHeight="251677696" behindDoc="0" locked="0" layoutInCell="1" allowOverlap="1" wp14:anchorId="44AC725E" wp14:editId="26AC5139">
                <wp:simplePos x="0" y="0"/>
                <wp:positionH relativeFrom="margin">
                  <wp:align>right</wp:align>
                </wp:positionH>
                <wp:positionV relativeFrom="paragraph">
                  <wp:posOffset>445135</wp:posOffset>
                </wp:positionV>
                <wp:extent cx="5925185" cy="3346450"/>
                <wp:effectExtent l="0" t="0" r="0" b="6350"/>
                <wp:wrapSquare wrapText="bothSides"/>
                <wp:docPr id="1653228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bookmarkStart w:id="19" w:name="imazh"/>
                            <w:bookmarkEnd w:id="19"/>
                            <w:r>
                              <w:rPr>
                                <w:noProof/>
                              </w:rPr>
                              <w:drawing>
                                <wp:inline distT="0" distB="0" distL="0" distR="0" wp14:anchorId="0B2D4485" wp14:editId="62AA527E">
                                  <wp:extent cx="5730000" cy="3260000"/>
                                  <wp:effectExtent l="0" t="0" r="0" b="0"/>
                                  <wp:docPr id="186747917" name="Picture 18674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C725E" id="_x0000_s1030" type="#_x0000_t202" style="position:absolute;left:0;text-align:left;margin-left:415.35pt;margin-top:35.05pt;width:466.55pt;height:263.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" filled="f" stroked="f">
                <v:textbox>
                  <w:txbxContent>
                    <w:p w:rsidR="00A8516B" w:rsidRDefault="00A8516B" w:rsidP="00BA3795">
                      <w:bookmarkStart w:id="20" w:name="imazh"/>
                      <w:bookmarkEnd w:id="20"/>
                      <w:r>
                        <w:rPr>
                          <w:noProof/>
                        </w:rPr>
                        <w:drawing>
                          <wp:inline distT="0" distB="0" distL="0" distR="0" wp14:anchorId="0B2D4485" wp14:editId="62AA527E">
                            <wp:extent cx="5730000" cy="3260000"/>
                            <wp:effectExtent l="0" t="0" r="0" b="0"/>
                            <wp:docPr id="186747917" name="Picture 18674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352"/>
        <w:gridCol w:w="5062"/>
        <w:gridCol w:w="756"/>
        <w:gridCol w:w="756"/>
        <w:gridCol w:w="756"/>
        <w:gridCol w:w="756"/>
        <w:gridCol w:w="75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bookmarkStart w:id="21" w:name="indikatoret_performanca"/>
            <w:bookmarkEnd w:id="21"/>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frekuentimit të sistemit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numrit të fëmijëve që frekuentojnë sistemin parashkollor kundrejt numrit total të fëmijëve 3 - 6 vjeç</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F30BCC">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Mësimi në klasat e arsimit bazë zhvillohet sipas standardit kombëtar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mesatar i nxënësve të arsimit bazë në një klasë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13.34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16.57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Mësimi në klasat e arsimit bazë zhvillohet sipas standardit kombëtar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mesatar i nxënësve për çdo punonjës mësimor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10.46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8.46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10.39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10.39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Mësimi në klasat e arsimit parashkollor zhvillohet sipas standardit kombëtar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mesatar i fëmijëve për një punonjës mësimor në arsimin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15.64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15.64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15.64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15.64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infrastrukturës në  kopshte/shkolla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ndërtesave të  kopshteve / shkollave të  arsimit bazë të rikonstruktuara, kundrejt  ndërtesave funksionale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infrastrukturës në kopshte/shkolla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ndërtesave të kopshteve/shkollave të mirëmbajtura kundrejt ndërtesave funksionale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38.89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11.11</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bookmarkStart w:id="22" w:name="pashaporta_trefguesve"/>
      <w:bookmarkEnd w:id="22"/>
    </w:p>
    <w:p w:rsidR="00EF701A" w:rsidRDefault="00EF701A">
      <w:bookmarkStart w:id="23" w:name="indikator_analiza"/>
      <w:bookmarkEnd w:id="23"/>
    </w:p>
    <w:p w:rsidR="00EF701A" w:rsidRDefault="00BA3795" w:rsidP="00BA3795">
      <w:pPr>
        <w:pStyle w:val="indicatorNameStyle"/>
        <w:numPr>
          <w:ilvl w:val="0"/>
          <w:numId w:val="3"/>
        </w:numPr>
      </w:pPr>
      <w:bookmarkStart w:id="24" w:name="emri_indikatori"/>
      <w:bookmarkEnd w:id="24"/>
      <w:r>
        <w:t>Përmirësimi i infrastrukturës në kopshte/shkolla</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AE20D4">
            <w:pPr>
              <w:pStyle w:val="StyleofText"/>
              <w:ind w:left="360"/>
            </w:pPr>
            <w:bookmarkStart w:id="25" w:name="njesia_matese"/>
            <w:bookmarkEnd w:id="25"/>
            <w:r>
              <w:t>Raporti në % i ndërtesave të kopshteve/shkollave të mirëmbajtura kundrejt ndërtesave funksionale në total</w:t>
            </w:r>
          </w:p>
        </w:tc>
      </w:tr>
    </w:tbl>
    <w:p w:rsidR="00EF701A" w:rsidRDefault="00BA3795">
      <w:pPr>
        <w:pStyle w:val="NormalWeb"/>
        <w:divId w:val="156848422"/>
      </w:pPr>
      <w:bookmarkStart w:id="26" w:name="interpretim_grafiku"/>
      <w:bookmarkEnd w:id="26"/>
      <w:r>
        <w:t xml:space="preserve">Të dhënat për bashkinë Roskovec tregojnë një variabilitet të ndjeshëm në përqindjen e ndërtesave të kopshteve dhe shkollave të mirëmbajtura në raport me ndërtesat funksionale në total ndër vite. Në </w:t>
      </w:r>
      <w:r>
        <w:rPr>
          <w:rStyle w:val="Strong"/>
          <w:rFonts w:eastAsiaTheme="majorEastAsia"/>
        </w:rPr>
        <w:t>2021</w:t>
      </w:r>
      <w:r>
        <w:t xml:space="preserve">, ky raport ishte </w:t>
      </w:r>
      <w:r>
        <w:rPr>
          <w:rStyle w:val="Strong"/>
          <w:rFonts w:eastAsiaTheme="majorEastAsia"/>
        </w:rPr>
        <w:t>22.22%</w:t>
      </w:r>
      <w:r>
        <w:t xml:space="preserve">, duke treguar një fillim relativisht të moderuar të përmirësimeve infrastrukturore. Në </w:t>
      </w:r>
      <w:r>
        <w:rPr>
          <w:rStyle w:val="Strong"/>
          <w:rFonts w:eastAsiaTheme="majorEastAsia"/>
        </w:rPr>
        <w:t>2022</w:t>
      </w:r>
      <w:r>
        <w:t xml:space="preserve">, përqindja u rrit ndjeshëm në </w:t>
      </w:r>
      <w:r>
        <w:rPr>
          <w:rStyle w:val="Strong"/>
          <w:rFonts w:eastAsiaTheme="majorEastAsia"/>
        </w:rPr>
        <w:t>38.89%</w:t>
      </w:r>
      <w:r>
        <w:t xml:space="preserve">, një përmirësim i dukshëm që mund të sugjerojë investime të shtuara në mirëmbajtje. Megjithatë, nga </w:t>
      </w:r>
      <w:r>
        <w:rPr>
          <w:rStyle w:val="Strong"/>
          <w:rFonts w:eastAsiaTheme="majorEastAsia"/>
        </w:rPr>
        <w:t>2023</w:t>
      </w:r>
      <w:r>
        <w:t xml:space="preserve"> deri në </w:t>
      </w:r>
      <w:r>
        <w:rPr>
          <w:rStyle w:val="Strong"/>
          <w:rFonts w:eastAsiaTheme="majorEastAsia"/>
        </w:rPr>
        <w:t>2026</w:t>
      </w:r>
      <w:r>
        <w:t xml:space="preserve">, raporti qëndron i pandryshuar në </w:t>
      </w:r>
      <w:r>
        <w:rPr>
          <w:rStyle w:val="Strong"/>
          <w:rFonts w:eastAsiaTheme="majorEastAsia"/>
        </w:rPr>
        <w:t>11.11%</w:t>
      </w:r>
      <w:r>
        <w:t xml:space="preserve">. Kjo ulje dhe stagnim mund të reflektojnë sfida në financim, prioritizim ose zbatimin e politikave të mirëmbajtjes. Përqindja më e lartë e arritur në </w:t>
      </w:r>
      <w:r>
        <w:rPr>
          <w:rStyle w:val="Strong"/>
          <w:rFonts w:eastAsiaTheme="majorEastAsia"/>
        </w:rPr>
        <w:t>2022</w:t>
      </w:r>
      <w:r>
        <w:t xml:space="preserve"> është </w:t>
      </w:r>
      <w:r>
        <w:rPr>
          <w:rStyle w:val="Strong"/>
          <w:rFonts w:eastAsiaTheme="majorEastAsia"/>
        </w:rPr>
        <w:t>38.89%</w:t>
      </w:r>
      <w:r>
        <w:t xml:space="preserve">, ndërsa më e ulëta është </w:t>
      </w:r>
      <w:r>
        <w:rPr>
          <w:rStyle w:val="Strong"/>
          <w:rFonts w:eastAsiaTheme="majorEastAsia"/>
        </w:rPr>
        <w:t>11.11%</w:t>
      </w:r>
      <w:r>
        <w:t>, e cila persiston për katër vite rresht. Këto të dhëna sugjerojnë nevojën për strategji më efektive dhe të qëndrueshme për mirëmbajtjen e ndërtesave shkollore në bashkinë Roskovec. Analiza e këtyre të dhënave është e rëndësishme për të kuptuar ku qëndrojnë pikat e dobëta dhe si mund të fokusohet më mirë përpjekjet për zhvillim të qëndrueshëm. Përmirësimi i infrastrukturës shkollore është thelbësor për krijimin e një mjedisi të përshtatshëm arsimor.</w:t>
      </w:r>
    </w:p>
    <w:p w:rsidR="00EF701A" w:rsidRDefault="00EF701A" w:rsidP="00BA3795"/>
    <w:p w:rsidR="00EF701A" w:rsidRDefault="00BA3795">
      <w:bookmarkStart w:id="27" w:name="grafik_indikatori"/>
      <w:r>
        <w:rPr>
          <w:noProof/>
        </w:rPr>
        <w:lastRenderedPageBreak/>
        <w:drawing>
          <wp:inline distT="0" distB="0" distL="0" distR="0" wp14:anchorId="3BB4BFB7" wp14:editId="202B9850">
            <wp:extent cx="5486400" cy="3200400"/>
            <wp:effectExtent l="0" t="0" r="0" b="0"/>
            <wp:docPr id="680345257" name="Chart 680345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End w:id="27"/>
    </w:p>
    <w:p w:rsidR="00EF701A" w:rsidRDefault="00EF701A" w:rsidP="00BA3795"/>
    <w:p w:rsidR="00EF701A" w:rsidRDefault="00EF701A" w:rsidP="00BA3795"/>
    <w:p w:rsidR="00EF701A" w:rsidRDefault="00EF701A" w:rsidP="00BA3795"/>
    <w:p w:rsidR="00EF701A" w:rsidRDefault="00EF701A" w:rsidP="00BA3795">
      <w:pPr>
        <w:rPr>
          <w:rFonts w:cs="Times New Roman"/>
        </w:rPr>
      </w:pP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774"/>
        <w:gridCol w:w="1176"/>
        <w:gridCol w:w="1176"/>
        <w:gridCol w:w="1176"/>
        <w:gridCol w:w="1296"/>
        <w:gridCol w:w="1176"/>
        <w:gridCol w:w="117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bookmarkStart w:id="28" w:name="te_dhena_sherbimi"/>
            <w:bookmarkEnd w:id="28"/>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fëmijëve të regjistruar në sistemin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F30BCC">
            <w:pPr>
              <w:spacing w:after="0" w:line="240" w:lineRule="auto"/>
            </w:pPr>
            <w:r>
              <w:t>388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F30BCC">
            <w:pPr>
              <w:spacing w:after="0" w:line="240" w:lineRule="auto"/>
            </w:pPr>
            <w:r>
              <w:t>340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F30BCC">
            <w:pPr>
              <w:spacing w:after="0" w:line="240" w:lineRule="auto"/>
            </w:pPr>
            <w:r>
              <w:t>340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Klasa në sistemin e arsimit bazë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Klasa në sistemin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mësuesve në sistemin e arsimit bazë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mësuesve në sistemin e arsimit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Nxënës të regjistruar në arsimin 9-vjeçar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Ndërtesa funksionale të arsimit bazë dhe parashkollor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fëmijëve të moshës 3 - 6 vjeç rezident në territorin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rsidRPr="007327B7">
              <w:t>Numri total i godinave të kopshteve(Pervec kopsheteve qe jane prane shkollave 9-vjecare)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7327B7">
            <w:pPr>
              <w:spacing w:after="0" w:line="240" w:lineRule="auto"/>
            </w:pPr>
            <w:r>
              <w:t>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për shërbimin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Shpenzimet e programit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84833000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63507000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97552000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127362000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65136000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65136000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Staf mbështetës në arsimin bazë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Objekte te arsimit baze dhe parashkollor të meremetuara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Objekte te arsimit baze dhe parashkollor të përmirësuara / mirëmbajtura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bookmarkStart w:id="29" w:name="pashaporta_te_dhenes"/>
      <w:bookmarkEnd w:id="29"/>
    </w:p>
    <w:p w:rsidR="00EF701A" w:rsidRDefault="00EF701A">
      <w:bookmarkStart w:id="30" w:name="analiza_e_te_dhenave"/>
      <w:bookmarkEnd w:id="30"/>
    </w:p>
    <w:p w:rsidR="00EF701A" w:rsidRDefault="00BA3795" w:rsidP="00AE20D4">
      <w:pPr>
        <w:pStyle w:val="dataNameStyle"/>
      </w:pPr>
      <w:bookmarkStart w:id="31" w:name="emer_te_dhene"/>
      <w:bookmarkEnd w:id="31"/>
      <w:r>
        <w:t>N</w:t>
      </w:r>
      <w:r w:rsidR="00533960">
        <w:t>umri i fëmijëve të regjistruar në sistemin parashkollor</w:t>
      </w:r>
    </w:p>
    <w:p w:rsidR="00AE20D4" w:rsidRPr="00AE20D4" w:rsidRDefault="00AE20D4" w:rsidP="00AE20D4">
      <w:pPr>
        <w:pStyle w:val="NormalWeb"/>
        <w:divId w:val="1891185296"/>
      </w:pPr>
      <w:r w:rsidRPr="00AE20D4">
        <w:t>Të dhënat e paraqitura për</w:t>
      </w:r>
      <w:r w:rsidR="007327B7">
        <w:t xml:space="preserve"> </w:t>
      </w:r>
      <w:r w:rsidRPr="00AE20D4">
        <w:t xml:space="preserve">bashkinë Roskovec tregojnë variacione në numrin e fëmijëve të regjistruar në sistemin parashkollor gjatë viteve të fundit. Në vitin </w:t>
      </w:r>
      <w:r w:rsidRPr="00AE20D4">
        <w:rPr>
          <w:b/>
          <w:bCs/>
        </w:rPr>
        <w:t>2021</w:t>
      </w:r>
      <w:r w:rsidRPr="00AE20D4">
        <w:t xml:space="preserve">, numri i fëmijëve të regjistruar ishte </w:t>
      </w:r>
      <w:r w:rsidRPr="00AE20D4">
        <w:rPr>
          <w:b/>
          <w:bCs/>
        </w:rPr>
        <w:t>509</w:t>
      </w:r>
      <w:r w:rsidRPr="00AE20D4">
        <w:t xml:space="preserve">. Në vitin e mëvonshëm, </w:t>
      </w:r>
      <w:r w:rsidRPr="00AE20D4">
        <w:rPr>
          <w:b/>
          <w:bCs/>
        </w:rPr>
        <w:t>2022</w:t>
      </w:r>
      <w:r w:rsidRPr="00AE20D4">
        <w:t xml:space="preserve">, ka një rënie në regjistrime, ku numri arrin në </w:t>
      </w:r>
      <w:r w:rsidRPr="00AE20D4">
        <w:rPr>
          <w:b/>
          <w:bCs/>
        </w:rPr>
        <w:t>458</w:t>
      </w:r>
      <w:r w:rsidRPr="00AE20D4">
        <w:t xml:space="preserve">. Megjithatë, në vitin </w:t>
      </w:r>
      <w:r w:rsidRPr="00AE20D4">
        <w:rPr>
          <w:b/>
          <w:bCs/>
        </w:rPr>
        <w:t>2023</w:t>
      </w:r>
      <w:r w:rsidRPr="00AE20D4">
        <w:t xml:space="preserve">, regjistrimet rriten ndjeshëm në </w:t>
      </w:r>
      <w:r w:rsidRPr="00AE20D4">
        <w:rPr>
          <w:b/>
          <w:bCs/>
        </w:rPr>
        <w:t>516</w:t>
      </w:r>
      <w:r w:rsidRPr="00AE20D4">
        <w:t xml:space="preserve">. Kjo </w:t>
      </w:r>
      <w:r w:rsidR="007327B7">
        <w:t xml:space="preserve">pëson një rënie </w:t>
      </w:r>
      <w:r w:rsidRPr="00AE20D4">
        <w:t xml:space="preserve">për vitet pasuese </w:t>
      </w:r>
      <w:r w:rsidRPr="00AE20D4">
        <w:rPr>
          <w:b/>
          <w:bCs/>
        </w:rPr>
        <w:t>2024</w:t>
      </w:r>
      <w:r w:rsidRPr="00AE20D4">
        <w:t xml:space="preserve">, </w:t>
      </w:r>
      <w:r w:rsidRPr="00AE20D4">
        <w:rPr>
          <w:b/>
          <w:bCs/>
        </w:rPr>
        <w:t>2025</w:t>
      </w:r>
      <w:r w:rsidRPr="00AE20D4">
        <w:t xml:space="preserve">, dhe </w:t>
      </w:r>
      <w:r w:rsidRPr="00AE20D4">
        <w:rPr>
          <w:b/>
          <w:bCs/>
        </w:rPr>
        <w:t>2026</w:t>
      </w:r>
      <w:r w:rsidRPr="00AE20D4">
        <w:t>, ku numri i fëmijëve të regjistruar</w:t>
      </w:r>
      <w:r w:rsidR="007327B7">
        <w:t xml:space="preserve"> ne </w:t>
      </w:r>
      <w:r w:rsidR="007327B7" w:rsidRPr="007327B7">
        <w:rPr>
          <w:b/>
        </w:rPr>
        <w:t>2024</w:t>
      </w:r>
      <w:r w:rsidR="007327B7">
        <w:t xml:space="preserve"> shkonë në </w:t>
      </w:r>
      <w:r w:rsidR="007327B7" w:rsidRPr="007327B7">
        <w:rPr>
          <w:b/>
        </w:rPr>
        <w:t>388</w:t>
      </w:r>
      <w:r w:rsidR="007327B7">
        <w:t xml:space="preserve"> e më pas në </w:t>
      </w:r>
      <w:r w:rsidR="007327B7" w:rsidRPr="007327B7">
        <w:rPr>
          <w:b/>
        </w:rPr>
        <w:t>340</w:t>
      </w:r>
      <w:r w:rsidR="007327B7">
        <w:t xml:space="preserve"> fëmijë ne </w:t>
      </w:r>
      <w:r w:rsidR="007327B7" w:rsidRPr="007327B7">
        <w:rPr>
          <w:b/>
        </w:rPr>
        <w:t>2025</w:t>
      </w:r>
      <w:r w:rsidR="007327B7">
        <w:t xml:space="preserve"> qe </w:t>
      </w:r>
      <w:r w:rsidR="007327B7" w:rsidRPr="00AE20D4">
        <w:t>është viti me numrin më të ulët të regjistrimeve nga të gjitha vitet e analizuara</w:t>
      </w:r>
      <w:r w:rsidRPr="00AE20D4">
        <w:t>. Këto të dhëna ofrojnë një pasqyrë të rëndësishme për planifikimin arsimor dhe shërbimet komunitare në Roskovec.</w:t>
      </w:r>
    </w:p>
    <w:p w:rsidR="00AE20D4" w:rsidRDefault="0015222C">
      <w:pPr>
        <w:pStyle w:val="NormalWeb"/>
        <w:divId w:val="1891185296"/>
      </w:pPr>
      <w:r>
        <w:rPr>
          <w:noProof/>
          <w14:ligatures w14:val="standardContextual"/>
        </w:rPr>
        <w:drawing>
          <wp:inline distT="0" distB="0" distL="0" distR="0" wp14:anchorId="45EF9391">
            <wp:extent cx="5968365" cy="34690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8365" cy="3469005"/>
                    </a:xfrm>
                    <a:prstGeom prst="rect">
                      <a:avLst/>
                    </a:prstGeom>
                    <a:noFill/>
                  </pic:spPr>
                </pic:pic>
              </a:graphicData>
            </a:graphic>
          </wp:inline>
        </w:drawing>
      </w:r>
    </w:p>
    <w:p w:rsidR="00EF701A" w:rsidRDefault="00EF701A" w:rsidP="00BA3795"/>
    <w:p w:rsidR="00EF701A" w:rsidRDefault="00EF701A" w:rsidP="00BA3795"/>
    <w:p w:rsidR="00EF701A" w:rsidRDefault="00EF701A"/>
    <w:p w:rsidR="00EF701A" w:rsidRDefault="00BA3795" w:rsidP="00BA3795">
      <w:pPr>
        <w:pStyle w:val="dataNameStyle"/>
      </w:pPr>
      <w:r>
        <w:lastRenderedPageBreak/>
        <w:t>Numri i mësuesve në sistemin e arsimit parashkollor</w:t>
      </w:r>
    </w:p>
    <w:p w:rsidR="00AE20D4" w:rsidRPr="00AE20D4" w:rsidRDefault="00AE20D4" w:rsidP="00AE20D4">
      <w:pPr>
        <w:pStyle w:val="NormalWeb"/>
        <w:divId w:val="156776155"/>
      </w:pPr>
      <w:r w:rsidRPr="00AE20D4">
        <w:t xml:space="preserve">Nga të dhënat e paraqitura për bashkinë Roskovec, vërenjmë se </w:t>
      </w:r>
      <w:r w:rsidRPr="00AE20D4">
        <w:rPr>
          <w:b/>
          <w:bCs/>
        </w:rPr>
        <w:t>numri i mësuesve në sistemin e arsimit parashkollor</w:t>
      </w:r>
      <w:r w:rsidRPr="00AE20D4">
        <w:t xml:space="preserve"> ka mbetur i qëndrueshëm gjatë viteve të analizuara. Në vitin </w:t>
      </w:r>
      <w:r w:rsidRPr="00AE20D4">
        <w:rPr>
          <w:b/>
          <w:bCs/>
        </w:rPr>
        <w:t>2021</w:t>
      </w:r>
      <w:r w:rsidRPr="00AE20D4">
        <w:t xml:space="preserve">, janë regjistruar </w:t>
      </w:r>
      <w:r w:rsidRPr="00AE20D4">
        <w:rPr>
          <w:b/>
          <w:bCs/>
        </w:rPr>
        <w:t>33</w:t>
      </w:r>
      <w:r w:rsidRPr="00AE20D4">
        <w:t xml:space="preserve"> mësues</w:t>
      </w:r>
      <w:r w:rsidR="0062551E">
        <w:rPr>
          <w:b/>
          <w:bCs/>
          <w:lang w:val="it-IT"/>
        </w:rPr>
        <w:t>(</w:t>
      </w:r>
      <w:r w:rsidR="0062551E" w:rsidRPr="0062551E">
        <w:rPr>
          <w:b/>
          <w:bCs/>
          <w:lang w:val="it-IT"/>
        </w:rPr>
        <w:t>përfshirë në këtë numër edhe 3 drejtuesit)</w:t>
      </w:r>
      <w:r w:rsidRPr="0062551E">
        <w:t>,</w:t>
      </w:r>
      <w:r w:rsidRPr="00AE20D4">
        <w:t xml:space="preserve"> një numër që ruhet i pandryshuar në </w:t>
      </w:r>
      <w:r w:rsidRPr="00AE20D4">
        <w:rPr>
          <w:b/>
          <w:bCs/>
        </w:rPr>
        <w:t>2022</w:t>
      </w:r>
      <w:r w:rsidRPr="00AE20D4">
        <w:t xml:space="preserve">, </w:t>
      </w:r>
      <w:r w:rsidRPr="00AE20D4">
        <w:rPr>
          <w:b/>
          <w:bCs/>
        </w:rPr>
        <w:t>2023</w:t>
      </w:r>
      <w:r w:rsidRPr="00AE20D4">
        <w:t xml:space="preserve">, </w:t>
      </w:r>
      <w:r w:rsidRPr="00AE20D4">
        <w:rPr>
          <w:b/>
          <w:bCs/>
        </w:rPr>
        <w:t>2024</w:t>
      </w:r>
      <w:r w:rsidRPr="00AE20D4">
        <w:t xml:space="preserve">, </w:t>
      </w:r>
      <w:r w:rsidRPr="00AE20D4">
        <w:rPr>
          <w:b/>
          <w:bCs/>
        </w:rPr>
        <w:t>2025</w:t>
      </w:r>
      <w:r w:rsidRPr="00AE20D4">
        <w:t xml:space="preserve"> dhe </w:t>
      </w:r>
      <w:r w:rsidRPr="00AE20D4">
        <w:rPr>
          <w:b/>
          <w:bCs/>
        </w:rPr>
        <w:t>2026</w:t>
      </w:r>
      <w:r w:rsidRPr="00AE20D4">
        <w:t xml:space="preserve">. Ky stabilitet në numrin e mësuesve mund të tregojë për një planifikim të mirë të burimeve njerëzore ose për një nivel të qëndrueshëm të kërkesës për shërbime arsimore parashkollore. Një numër i pandryshuar mësuesish gjithashtu sugjeron se nuk ka pasur një rritje domethënëse të popullsisë në moshën parashkollore në këtë periudhë. Mund të konstatohet se kapacitetet arsimore parashkollore janë përshtatur mirë me nevojat aktuale të komunitetit. Gjithashtu, kjo situatë mund të reflektojë qëndrueshmëri në politikat lokale të punësimit ose përpjekjet e bashkisë për të mbajtur një staf të kualifikuar brenda saj. Një tjetër mundësi është që infrastruktura ekzistuese e arsimit parashkollor të jetë e mjaftueshme për të akomoduar nxënësit aktualë pa nevojën për shtim personeli. Në përmbledhje, situata e qëndrueshme e </w:t>
      </w:r>
      <w:r w:rsidRPr="00AE20D4">
        <w:rPr>
          <w:b/>
          <w:bCs/>
        </w:rPr>
        <w:t>33</w:t>
      </w:r>
      <w:r w:rsidRPr="00AE20D4">
        <w:t xml:space="preserve"> mësuesve tregon për një ekuilibër në sistemin arsimor parashkollor në Roskovec përgjatë viteve </w:t>
      </w:r>
      <w:r w:rsidRPr="00AE20D4">
        <w:rPr>
          <w:b/>
          <w:bCs/>
        </w:rPr>
        <w:t>2021</w:t>
      </w:r>
      <w:r w:rsidRPr="00AE20D4">
        <w:t xml:space="preserve"> deri </w:t>
      </w:r>
      <w:r w:rsidRPr="00AE20D4">
        <w:rPr>
          <w:b/>
          <w:bCs/>
        </w:rPr>
        <w:t>2026</w:t>
      </w:r>
      <w:r w:rsidRPr="00AE20D4">
        <w:t>.</w:t>
      </w:r>
    </w:p>
    <w:p w:rsidR="00AE20D4" w:rsidRDefault="00AE20D4">
      <w:pPr>
        <w:pStyle w:val="NormalWeb"/>
        <w:divId w:val="156776155"/>
      </w:pPr>
    </w:p>
    <w:p w:rsidR="00EF701A" w:rsidRDefault="00EF701A" w:rsidP="00BA3795"/>
    <w:p w:rsidR="00EF701A" w:rsidRDefault="00BA3795" w:rsidP="00BA3795">
      <w:r>
        <w:rPr>
          <w:noProof/>
        </w:rPr>
        <w:drawing>
          <wp:inline distT="0" distB="0" distL="0" distR="0" wp14:anchorId="0D3A7C2D" wp14:editId="17BA8FF5">
            <wp:extent cx="5486400" cy="3200400"/>
            <wp:effectExtent l="0" t="0" r="0" b="0"/>
            <wp:docPr id="282314380" name="Chart 282314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F701A" w:rsidRDefault="00EF701A" w:rsidP="00BA3795"/>
    <w:p w:rsidR="00EF701A" w:rsidRDefault="00EF701A"/>
    <w:p w:rsidR="00EF701A" w:rsidRDefault="00BA3795" w:rsidP="00BA3795">
      <w:pPr>
        <w:pStyle w:val="dataNameStyle"/>
      </w:pPr>
      <w:r>
        <w:lastRenderedPageBreak/>
        <w:t>N</w:t>
      </w:r>
      <w:r w:rsidR="00533960">
        <w:t>xënës të regjistruar në arsimin 9-vjeçar</w:t>
      </w:r>
    </w:p>
    <w:p w:rsidR="00AE20D4" w:rsidRPr="00AE20D4" w:rsidRDefault="00AE20D4" w:rsidP="00AE20D4">
      <w:pPr>
        <w:pStyle w:val="NormalWeb"/>
        <w:divId w:val="1892307294"/>
      </w:pPr>
      <w:r w:rsidRPr="00AE20D4">
        <w:t xml:space="preserve">Të dhënat për nxënësit e regjistruar në arsimin 9-vjeçar në Bashkinë Roskovec tregojnë ndryshime të dukshme gjatë viteve. Në vitin </w:t>
      </w:r>
      <w:r w:rsidRPr="00AE20D4">
        <w:rPr>
          <w:b/>
          <w:bCs/>
        </w:rPr>
        <w:t>2021</w:t>
      </w:r>
      <w:r w:rsidRPr="00AE20D4">
        <w:t xml:space="preserve">, numri i nxënësve ishte </w:t>
      </w:r>
      <w:r w:rsidRPr="00AE20D4">
        <w:rPr>
          <w:b/>
          <w:bCs/>
        </w:rPr>
        <w:t>2019</w:t>
      </w:r>
      <w:r w:rsidRPr="00AE20D4">
        <w:t xml:space="preserve">. Ky numër pësoi një rënie të konsiderueshme në vitin </w:t>
      </w:r>
      <w:r w:rsidRPr="00AE20D4">
        <w:rPr>
          <w:b/>
          <w:bCs/>
        </w:rPr>
        <w:t>2022</w:t>
      </w:r>
      <w:r w:rsidRPr="00AE20D4">
        <w:t xml:space="preserve">, duke arritur në </w:t>
      </w:r>
      <w:r w:rsidRPr="00AE20D4">
        <w:rPr>
          <w:b/>
          <w:bCs/>
        </w:rPr>
        <w:t>1667</w:t>
      </w:r>
      <w:r w:rsidRPr="00AE20D4">
        <w:t xml:space="preserve"> nxënës. Pas këtij viti, të dhënat tregojnë një rritje të ndjeshme. Në vitin </w:t>
      </w:r>
      <w:r w:rsidRPr="00AE20D4">
        <w:rPr>
          <w:b/>
          <w:bCs/>
        </w:rPr>
        <w:t>2023</w:t>
      </w:r>
      <w:r w:rsidRPr="00AE20D4">
        <w:t xml:space="preserve">, numri i nxënësve u rrit në </w:t>
      </w:r>
      <w:r w:rsidRPr="00AE20D4">
        <w:rPr>
          <w:b/>
          <w:bCs/>
        </w:rPr>
        <w:t>2005</w:t>
      </w:r>
      <w:r w:rsidRPr="00AE20D4">
        <w:t xml:space="preserve"> dhe mbeti konstant në </w:t>
      </w:r>
      <w:r w:rsidRPr="00AE20D4">
        <w:rPr>
          <w:b/>
          <w:bCs/>
        </w:rPr>
        <w:t>2005</w:t>
      </w:r>
      <w:r w:rsidRPr="00AE20D4">
        <w:t xml:space="preserve"> për vitet </w:t>
      </w:r>
      <w:r w:rsidRPr="00AE20D4">
        <w:rPr>
          <w:b/>
          <w:bCs/>
        </w:rPr>
        <w:t>2024</w:t>
      </w:r>
      <w:r w:rsidRPr="00AE20D4">
        <w:t xml:space="preserve">, </w:t>
      </w:r>
      <w:r w:rsidRPr="00AE20D4">
        <w:rPr>
          <w:b/>
          <w:bCs/>
        </w:rPr>
        <w:t>2025</w:t>
      </w:r>
      <w:r w:rsidRPr="00AE20D4">
        <w:t xml:space="preserve">, dhe </w:t>
      </w:r>
      <w:r w:rsidRPr="00AE20D4">
        <w:rPr>
          <w:b/>
          <w:bCs/>
        </w:rPr>
        <w:t>2026</w:t>
      </w:r>
      <w:r w:rsidRPr="00AE20D4">
        <w:t xml:space="preserve">. Kjo rritje sugjeron një stabilizim trevjeçar pasi ky nivel është ruajtur që nga viti </w:t>
      </w:r>
      <w:r w:rsidRPr="00AE20D4">
        <w:rPr>
          <w:b/>
          <w:bCs/>
        </w:rPr>
        <w:t>2023</w:t>
      </w:r>
      <w:r w:rsidRPr="00AE20D4">
        <w:t xml:space="preserve">. Rënia në vitin </w:t>
      </w:r>
      <w:r w:rsidRPr="00AE20D4">
        <w:rPr>
          <w:b/>
          <w:bCs/>
        </w:rPr>
        <w:t>2022</w:t>
      </w:r>
      <w:r w:rsidRPr="00AE20D4">
        <w:t xml:space="preserve"> mund të jetë një anomali ose rezultat i faktorëve specifikë të atij viti. Stabilizimi në </w:t>
      </w:r>
      <w:r w:rsidRPr="00AE20D4">
        <w:rPr>
          <w:b/>
          <w:bCs/>
        </w:rPr>
        <w:t>2005</w:t>
      </w:r>
      <w:r w:rsidRPr="00AE20D4">
        <w:t xml:space="preserve"> nxënës pas vitit </w:t>
      </w:r>
      <w:r w:rsidRPr="00AE20D4">
        <w:rPr>
          <w:b/>
          <w:bCs/>
        </w:rPr>
        <w:t>2022</w:t>
      </w:r>
      <w:r w:rsidRPr="00AE20D4">
        <w:t xml:space="preserve"> mund të tregojë masa efektive të ndërmarra për të përmirësuar regjistrimet ose faktore të tjerë demografikë në zonë. Të dhënat sugjerojnë një trend pozitiv pas rënies, me një pritshmëri për vazhdimësi të këtij niveli në vitet e ardhshme.</w:t>
      </w:r>
    </w:p>
    <w:p w:rsidR="00AE20D4" w:rsidRDefault="00AE20D4">
      <w:pPr>
        <w:pStyle w:val="NormalWeb"/>
        <w:divId w:val="1892307294"/>
      </w:pPr>
    </w:p>
    <w:p w:rsidR="00EF701A" w:rsidRDefault="00EF701A" w:rsidP="00BA3795"/>
    <w:p w:rsidR="00EF701A" w:rsidRDefault="00BA3795" w:rsidP="00BA3795">
      <w:r>
        <w:rPr>
          <w:noProof/>
        </w:rPr>
        <w:drawing>
          <wp:inline distT="0" distB="0" distL="0" distR="0" wp14:anchorId="6B317A06" wp14:editId="64233815">
            <wp:extent cx="5486400" cy="3200400"/>
            <wp:effectExtent l="0" t="0" r="0" b="0"/>
            <wp:docPr id="1741248922" name="Chart 17412489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F701A" w:rsidRDefault="00EF701A" w:rsidP="00BA3795"/>
    <w:p w:rsidR="00EF701A" w:rsidRDefault="00EF701A"/>
    <w:p w:rsidR="00AE20D4" w:rsidRDefault="00AE20D4"/>
    <w:p w:rsidR="0015222C" w:rsidRDefault="0015222C" w:rsidP="0015222C">
      <w:pPr>
        <w:pStyle w:val="dataNameStyle"/>
        <w:numPr>
          <w:ilvl w:val="0"/>
          <w:numId w:val="0"/>
        </w:numPr>
        <w:ind w:left="360"/>
      </w:pPr>
    </w:p>
    <w:p w:rsidR="00EF701A" w:rsidRDefault="00BA3795" w:rsidP="0015222C">
      <w:pPr>
        <w:pStyle w:val="dataNameStyle"/>
        <w:numPr>
          <w:ilvl w:val="0"/>
          <w:numId w:val="5"/>
        </w:numPr>
      </w:pPr>
      <w:r>
        <w:t>Shpenzimet e programit në lekë</w:t>
      </w:r>
    </w:p>
    <w:p w:rsidR="00EF701A" w:rsidRDefault="00BA3795">
      <w:pPr>
        <w:pStyle w:val="NormalWeb"/>
        <w:divId w:val="1799640565"/>
      </w:pPr>
      <w:r>
        <w:t xml:space="preserve">Bashkia Roskovec ka përjetuar ndryshime të konsiderueshme në shpenzimet e programit përgjatë viteve. Në </w:t>
      </w:r>
      <w:r>
        <w:rPr>
          <w:rStyle w:val="Strong"/>
          <w:rFonts w:eastAsiaTheme="majorEastAsia"/>
        </w:rPr>
        <w:t>2021</w:t>
      </w:r>
      <w:r>
        <w:t xml:space="preserve">, shpenzimet arritën në </w:t>
      </w:r>
      <w:r>
        <w:rPr>
          <w:rStyle w:val="Strong"/>
          <w:rFonts w:eastAsiaTheme="majorEastAsia"/>
        </w:rPr>
        <w:t>84,833,000</w:t>
      </w:r>
      <w:r>
        <w:t xml:space="preserve"> lekë. Këto shpenzime u ulën ndjeshëm në </w:t>
      </w:r>
      <w:r>
        <w:rPr>
          <w:rStyle w:val="Strong"/>
          <w:rFonts w:eastAsiaTheme="majorEastAsia"/>
        </w:rPr>
        <w:t>2022</w:t>
      </w:r>
      <w:r>
        <w:t xml:space="preserve">, duke arritur vetëm </w:t>
      </w:r>
      <w:r>
        <w:rPr>
          <w:rStyle w:val="Strong"/>
          <w:rFonts w:eastAsiaTheme="majorEastAsia"/>
        </w:rPr>
        <w:t>63,507,000</w:t>
      </w:r>
      <w:r>
        <w:t xml:space="preserve"> lekë, që sugjeron një ulje ekonomikë ose reducim të aktiviteteve të programit. Viti </w:t>
      </w:r>
      <w:r>
        <w:rPr>
          <w:rStyle w:val="Strong"/>
          <w:rFonts w:eastAsiaTheme="majorEastAsia"/>
        </w:rPr>
        <w:t>2023</w:t>
      </w:r>
      <w:r>
        <w:t xml:space="preserve"> pa një rritje të konsiderueshme të fondeve, duke arritur në </w:t>
      </w:r>
      <w:r>
        <w:rPr>
          <w:rStyle w:val="Strong"/>
          <w:rFonts w:eastAsiaTheme="majorEastAsia"/>
        </w:rPr>
        <w:t>97,552,000</w:t>
      </w:r>
      <w:r>
        <w:t xml:space="preserve"> lekë. Plani për </w:t>
      </w:r>
      <w:r>
        <w:rPr>
          <w:rStyle w:val="Strong"/>
          <w:rFonts w:eastAsiaTheme="majorEastAsia"/>
        </w:rPr>
        <w:t>2024</w:t>
      </w:r>
      <w:r>
        <w:t xml:space="preserve"> parashikon një rritje të madhe të buxhetit me </w:t>
      </w:r>
      <w:r>
        <w:rPr>
          <w:rStyle w:val="Strong"/>
          <w:rFonts w:eastAsiaTheme="majorEastAsia"/>
        </w:rPr>
        <w:t>127,362,000</w:t>
      </w:r>
      <w:r>
        <w:t xml:space="preserve"> lekë, që mund të nënkuptojë investime të reja ose zgjerim të projekteve. Për vitet </w:t>
      </w:r>
      <w:r>
        <w:rPr>
          <w:rStyle w:val="Strong"/>
          <w:rFonts w:eastAsiaTheme="majorEastAsia"/>
        </w:rPr>
        <w:t>2025</w:t>
      </w:r>
      <w:r>
        <w:t xml:space="preserve"> dhe </w:t>
      </w:r>
      <w:r>
        <w:rPr>
          <w:rStyle w:val="Strong"/>
          <w:rFonts w:eastAsiaTheme="majorEastAsia"/>
        </w:rPr>
        <w:t>2026</w:t>
      </w:r>
      <w:r>
        <w:t xml:space="preserve">, shpenzimet janë parashikuar të jenë të qëndrueshme me një shumë prej </w:t>
      </w:r>
      <w:r>
        <w:rPr>
          <w:rStyle w:val="Strong"/>
          <w:rFonts w:eastAsiaTheme="majorEastAsia"/>
        </w:rPr>
        <w:t>65,136,000</w:t>
      </w:r>
      <w:r>
        <w:t xml:space="preserve"> lekë në secilin vit. Ky stabilitet pas rritjes së madhe të </w:t>
      </w:r>
      <w:r>
        <w:rPr>
          <w:rStyle w:val="Strong"/>
          <w:rFonts w:eastAsiaTheme="majorEastAsia"/>
        </w:rPr>
        <w:t>2024</w:t>
      </w:r>
      <w:r>
        <w:t xml:space="preserve"> mund të reflektojë një përpjekje për konsolidim të programeve ekzistuese. Këto të dhëna tregojnë për një vizion të qartë të bashkisë për të balancuar investimet dhe qëndrueshmërinë financiare. Rritjet dhe uljet e buxhetit dëshmojnë për një planifikim të kujdesshëm të prioriteteve lokale. Trajtimi i resurseve financiare në këtë mënyrë është i rëndësishëm për zhvillimin afatgjatë të Bashkisë Roskovec.</w:t>
      </w:r>
    </w:p>
    <w:p w:rsidR="00EF701A" w:rsidRDefault="00EF701A" w:rsidP="00BA3795"/>
    <w:p w:rsidR="00EF701A" w:rsidRDefault="00BA3795" w:rsidP="00BA3795">
      <w:r>
        <w:rPr>
          <w:noProof/>
        </w:rPr>
        <w:drawing>
          <wp:inline distT="0" distB="0" distL="0" distR="0" wp14:anchorId="362B59DE" wp14:editId="38236421">
            <wp:extent cx="5486400" cy="3200400"/>
            <wp:effectExtent l="0" t="0" r="0" b="0"/>
            <wp:docPr id="1432358789" name="Chart 1432358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F701A" w:rsidRDefault="00EF701A" w:rsidP="00BA3795"/>
    <w:p w:rsidR="00EF701A" w:rsidRDefault="00BA3795" w:rsidP="00AE20D4">
      <w:pPr>
        <w:pStyle w:val="sherbimiemristyle"/>
        <w:jc w:val="left"/>
      </w:pPr>
      <w:bookmarkStart w:id="32" w:name="_Toc210053348"/>
      <w:r>
        <w:lastRenderedPageBreak/>
        <w:t>Arsimi i mesëm i përgjithshëm</w:t>
      </w:r>
      <w:bookmarkEnd w:id="32"/>
    </w:p>
    <w:p w:rsidR="00EF701A" w:rsidRDefault="00EF701A">
      <w:pPr>
        <w:rPr>
          <w:color w:val="0A2F41" w:themeColor="accent1" w:themeShade="80"/>
        </w:rPr>
      </w:pPr>
    </w:p>
    <w:p w:rsidR="00EF701A" w:rsidRDefault="00BA3795" w:rsidP="00BA3795">
      <w:pPr>
        <w:pStyle w:val="paragraphstyle"/>
      </w:pPr>
      <w:r>
        <w:t>Bashkia është përgjegjëse për ndërtimin, rehabilitimin dhe mirëmbajtjen e institucioneve dhe ndërtesave tw arsimit të mesëm të përgjithshëm, duke përjashtuar shkollat profesionale, si dhe shpenzimet për pagat e stafit mbështetës. Kjo përfshin gjithashtu administrimin, organizimin e inspektimin e shërbimeve në konvikte, për strehimin dhe ofrimin e vateve ushqimore për nxënësit.</w:t>
      </w:r>
    </w:p>
    <w:p w:rsidR="00EF701A" w:rsidRDefault="00EF701A" w:rsidP="00BA3795">
      <w:pPr>
        <w:pStyle w:val="paragraphstyle"/>
      </w:pPr>
    </w:p>
    <w:p w:rsidR="00EF701A" w:rsidRDefault="00BA3795" w:rsidP="00BA3795">
      <w:pPr>
        <w:pStyle w:val="paragraphstyle"/>
        <w:sectPr w:rsidR="00EF701A" w:rsidSect="00BA3795">
          <w:headerReference w:type="even" r:id="rId22"/>
          <w:footerReference w:type="even" r:id="rId23"/>
          <w:footerReference w:type="default" r:id="rId24"/>
          <w:headerReference w:type="first" r:id="rId25"/>
          <w:footerReference w:type="first" r:id="rId26"/>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79744" behindDoc="0" locked="0" layoutInCell="1" allowOverlap="1" wp14:anchorId="40C50E98" wp14:editId="62CDB76E">
                <wp:simplePos x="0" y="0"/>
                <wp:positionH relativeFrom="margin">
                  <wp:align>right</wp:align>
                </wp:positionH>
                <wp:positionV relativeFrom="paragraph">
                  <wp:posOffset>445135</wp:posOffset>
                </wp:positionV>
                <wp:extent cx="5925185" cy="3346450"/>
                <wp:effectExtent l="0" t="0" r="0" b="6350"/>
                <wp:wrapSquare wrapText="bothSides"/>
                <wp:docPr id="149714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3B2BA41C" wp14:editId="14439513">
                                  <wp:extent cx="5730000" cy="3260000"/>
                                  <wp:effectExtent l="0" t="0" r="0" b="0"/>
                                  <wp:docPr id="768727757" name="Picture 76872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7"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50E98" id="_x0000_s1031" type="#_x0000_t202" style="position:absolute;left:0;text-align:left;margin-left:415.35pt;margin-top:35.05pt;width:466.55pt;height:263.5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C1n3YP&#10;SwIAANY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3B2BA41C" wp14:editId="14439513">
                            <wp:extent cx="5730000" cy="3260000"/>
                            <wp:effectExtent l="0" t="0" r="0" b="0"/>
                            <wp:docPr id="768727757" name="Picture 76872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7"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716"/>
        <w:gridCol w:w="4998"/>
        <w:gridCol w:w="756"/>
        <w:gridCol w:w="696"/>
        <w:gridCol w:w="696"/>
        <w:gridCol w:w="696"/>
        <w:gridCol w:w="696"/>
        <w:gridCol w:w="6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Mësimi në klasat e arsimit të mesëm zhvillohet sipas  standardit kombëtar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mesatar i nxënësve për çdo punonjës mësimor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infrastrukturës në shkollat e mesme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shkollave të mesme të mirëmbajtura kundrejt ndërtesave funksionale të arsimit të mesëm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headerReference w:type="default" r:id="rId28"/>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p>
    <w:p w:rsidR="00EF701A" w:rsidRDefault="00EF701A"/>
    <w:p w:rsidR="00EF701A" w:rsidRDefault="00BA3795" w:rsidP="00BA3795">
      <w:pPr>
        <w:pStyle w:val="indicatorNameStyle"/>
        <w:numPr>
          <w:ilvl w:val="0"/>
          <w:numId w:val="3"/>
        </w:numPr>
      </w:pPr>
      <w:r>
        <w:t>Përmirësimi i infrastrukturës në shkollat e mesme</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AE20D4">
            <w:pPr>
              <w:pStyle w:val="StyleofText"/>
              <w:ind w:left="360"/>
            </w:pPr>
            <w:r>
              <w:t>Raporti në % i shkollave të mesme të mirëmbajtura kundrejt ndërtesave funksionale të arsimit të mesëm në total</w:t>
            </w:r>
          </w:p>
        </w:tc>
      </w:tr>
    </w:tbl>
    <w:p w:rsidR="00EF701A" w:rsidRDefault="00BA3795">
      <w:pPr>
        <w:pStyle w:val="NormalWeb"/>
        <w:divId w:val="84307068"/>
      </w:pPr>
      <w:r>
        <w:t xml:space="preserve">Të dhënat e bashkisë Roskovec tregojnë raportin në përqindje të shkollave të mesme të mirëmbajtura ndaj ndërtesave funksionale të arsimit të mesëm. Në </w:t>
      </w:r>
      <w:r>
        <w:rPr>
          <w:rStyle w:val="Strong"/>
          <w:rFonts w:eastAsiaTheme="majorEastAsia"/>
        </w:rPr>
        <w:t>vitin 2021</w:t>
      </w:r>
      <w:r>
        <w:t xml:space="preserve">, ky raport ishte </w:t>
      </w:r>
      <w:r>
        <w:rPr>
          <w:rStyle w:val="Strong"/>
          <w:rFonts w:eastAsiaTheme="majorEastAsia"/>
        </w:rPr>
        <w:t>50%</w:t>
      </w:r>
      <w:r>
        <w:t xml:space="preserve">, që tregon një përpjekje të mirëmbajtjes për gjysmën e shkollave të mesme funksionale. Megjithatë, në </w:t>
      </w:r>
      <w:r>
        <w:rPr>
          <w:rStyle w:val="Strong"/>
          <w:rFonts w:eastAsiaTheme="majorEastAsia"/>
        </w:rPr>
        <w:t>vitin 2022</w:t>
      </w:r>
      <w:r>
        <w:t xml:space="preserve">, ky raport ra në </w:t>
      </w:r>
      <w:r>
        <w:rPr>
          <w:rStyle w:val="Strong"/>
          <w:rFonts w:eastAsiaTheme="majorEastAsia"/>
        </w:rPr>
        <w:t>0%</w:t>
      </w:r>
      <w:r>
        <w:t xml:space="preserve">, duke sugjeruar se asnjë shkollë e mesme nuk u mirëmbajt atë vit. Kjo rënie e theksuar mund të ketë ndikuar negativisht në cilësinë e infrastrukturës shkollore dhe në përvojën e studentëve. Në </w:t>
      </w:r>
      <w:r>
        <w:rPr>
          <w:rStyle w:val="Strong"/>
          <w:rFonts w:eastAsiaTheme="majorEastAsia"/>
        </w:rPr>
        <w:t>vitin 2023</w:t>
      </w:r>
      <w:r>
        <w:t xml:space="preserve">, shkalla e mirëmbajtjes u rikthye në </w:t>
      </w:r>
      <w:r>
        <w:rPr>
          <w:rStyle w:val="Strong"/>
          <w:rFonts w:eastAsiaTheme="majorEastAsia"/>
        </w:rPr>
        <w:t>50%</w:t>
      </w:r>
      <w:r>
        <w:t xml:space="preserve">, e cila vazhdoi po ashtu në </w:t>
      </w:r>
      <w:r>
        <w:rPr>
          <w:rStyle w:val="Strong"/>
          <w:rFonts w:eastAsiaTheme="majorEastAsia"/>
        </w:rPr>
        <w:t>vitin 2024</w:t>
      </w:r>
      <w:r>
        <w:t xml:space="preserve">. Për vitet </w:t>
      </w:r>
      <w:r>
        <w:rPr>
          <w:rStyle w:val="Strong"/>
          <w:rFonts w:eastAsiaTheme="majorEastAsia"/>
        </w:rPr>
        <w:t>2025</w:t>
      </w:r>
      <w:r>
        <w:t xml:space="preserve"> dhe </w:t>
      </w:r>
      <w:r>
        <w:rPr>
          <w:rStyle w:val="Strong"/>
          <w:rFonts w:eastAsiaTheme="majorEastAsia"/>
        </w:rPr>
        <w:t>2026</w:t>
      </w:r>
      <w:r>
        <w:t xml:space="preserve">, ky raport është parashikuar të mbetet konstant në </w:t>
      </w:r>
      <w:r>
        <w:rPr>
          <w:rStyle w:val="Strong"/>
          <w:rFonts w:eastAsiaTheme="majorEastAsia"/>
        </w:rPr>
        <w:t>50%</w:t>
      </w:r>
      <w:r>
        <w:t>. Ky stabilitet mund të tregojë një strategji të vazhdueshme për mirëmbajtjen e sistemit arsimor. Megjithatë, sfidat e vitit 2022 tregojnë nevojën për vëmendje të vazhdueshme dhe ndoshta përmirësime të mëtejshme në planifikimin e mirëmbajtjes. Përfundimisht, të dhënat ofrojnë një pamje të rëndësishme të fokusit të bashkisë në mirëmbajtjen e infrastrukturës edukative.</w:t>
      </w:r>
    </w:p>
    <w:p w:rsidR="00EF701A" w:rsidRDefault="00EF701A" w:rsidP="00BA3795"/>
    <w:p w:rsidR="00EF701A" w:rsidRDefault="00BA3795" w:rsidP="00BA3795">
      <w:pPr>
        <w:rPr>
          <w:rFonts w:cs="Times New Roman"/>
        </w:rPr>
      </w:pPr>
      <w:r>
        <w:rPr>
          <w:noProof/>
        </w:rPr>
        <w:lastRenderedPageBreak/>
        <w:drawing>
          <wp:inline distT="0" distB="0" distL="0" distR="0" wp14:anchorId="0902EB7A" wp14:editId="50106C1B">
            <wp:extent cx="5486400" cy="3200400"/>
            <wp:effectExtent l="0" t="0" r="0" b="0"/>
            <wp:docPr id="1718323111" name="Chart 1718323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494"/>
        <w:gridCol w:w="1176"/>
        <w:gridCol w:w="1056"/>
        <w:gridCol w:w="1056"/>
        <w:gridCol w:w="1056"/>
        <w:gridCol w:w="1056"/>
        <w:gridCol w:w="10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Klasa në sistemin e arsimit të mesëm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nxënësve që përfundojnë sistemin e arsimit bazë (9 vjeçar)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Mësues në sistemin e arsimit të mesëm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Ndërtesa funksionale të arsimit të mesëm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Nxënës të regjistruar në sistemin e arsimit të mesëm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Shpenzimet e programit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59366000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5689000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5770000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2436000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2436000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2436000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Objekte te arsimit të mesëm të meremetuara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Objekte te arsimit të mesëm të përmirësuara / mirëmbajtura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p>
    <w:p w:rsidR="00EF701A" w:rsidRDefault="00EF701A"/>
    <w:p w:rsidR="00EF701A" w:rsidRDefault="00BA3795" w:rsidP="00BA3795">
      <w:pPr>
        <w:pStyle w:val="dataNameStyle"/>
      </w:pPr>
      <w:r>
        <w:t>Nxënës të regjistruar në sistemin e arsimit të mesëm</w:t>
      </w:r>
    </w:p>
    <w:p w:rsidR="00EF701A" w:rsidRDefault="00BA3795">
      <w:pPr>
        <w:pStyle w:val="NormalWeb"/>
        <w:divId w:val="1066807284"/>
      </w:pPr>
      <w:r>
        <w:t xml:space="preserve">Të dhënat për regjistrimet në sistemin e arsimit të mesëm në Bashkinë Roskovec tregojnë një tendencë të lehtë rënieje përgjatë viteve. Në vitin </w:t>
      </w:r>
      <w:r>
        <w:rPr>
          <w:rStyle w:val="Strong"/>
          <w:rFonts w:eastAsiaTheme="majorEastAsia"/>
        </w:rPr>
        <w:t>2021</w:t>
      </w:r>
      <w:r>
        <w:t xml:space="preserve">, numri i nxënësve të regjistruar ishte </w:t>
      </w:r>
      <w:r>
        <w:rPr>
          <w:rStyle w:val="Strong"/>
          <w:rFonts w:eastAsiaTheme="majorEastAsia"/>
        </w:rPr>
        <w:t>584</w:t>
      </w:r>
      <w:r>
        <w:t xml:space="preserve">, që përfaqësonte pikën më të lartë në këtë seri kohore. Në vitin pasues, </w:t>
      </w:r>
      <w:r>
        <w:rPr>
          <w:rStyle w:val="Strong"/>
          <w:rFonts w:eastAsiaTheme="majorEastAsia"/>
        </w:rPr>
        <w:t>2022</w:t>
      </w:r>
      <w:r>
        <w:t xml:space="preserve">, pati një rënie në regjistrime, me numrin e nxënësve që zbriti në </w:t>
      </w:r>
      <w:r>
        <w:rPr>
          <w:rStyle w:val="Strong"/>
          <w:rFonts w:eastAsiaTheme="majorEastAsia"/>
        </w:rPr>
        <w:t>568</w:t>
      </w:r>
      <w:r>
        <w:t xml:space="preserve">. Që nga viti </w:t>
      </w:r>
      <w:r>
        <w:rPr>
          <w:rStyle w:val="Strong"/>
          <w:rFonts w:eastAsiaTheme="majorEastAsia"/>
        </w:rPr>
        <w:t>2023</w:t>
      </w:r>
      <w:r>
        <w:t xml:space="preserve"> e në vazhdim, numri i nxënësve të regjistruar stabilizohet në </w:t>
      </w:r>
      <w:r>
        <w:rPr>
          <w:rStyle w:val="Strong"/>
          <w:rFonts w:eastAsiaTheme="majorEastAsia"/>
        </w:rPr>
        <w:t>565</w:t>
      </w:r>
      <w:r>
        <w:t xml:space="preserve">. Ky nivel regjistrimesh mbahet konstant për tre vite me radhë: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Rënia nga viti </w:t>
      </w:r>
      <w:r>
        <w:rPr>
          <w:rStyle w:val="Strong"/>
          <w:rFonts w:eastAsiaTheme="majorEastAsia"/>
        </w:rPr>
        <w:t>2021</w:t>
      </w:r>
      <w:r>
        <w:t xml:space="preserve"> në </w:t>
      </w:r>
      <w:r>
        <w:rPr>
          <w:rStyle w:val="Strong"/>
          <w:rFonts w:eastAsiaTheme="majorEastAsia"/>
        </w:rPr>
        <w:t>2023</w:t>
      </w:r>
      <w:r>
        <w:t xml:space="preserve"> është e dukshme, me një ulje totale prej </w:t>
      </w:r>
      <w:r>
        <w:rPr>
          <w:rStyle w:val="Strong"/>
          <w:rFonts w:eastAsiaTheme="majorEastAsia"/>
        </w:rPr>
        <w:t>19</w:t>
      </w:r>
      <w:r>
        <w:t xml:space="preserve"> nxënësish. Pas </w:t>
      </w:r>
      <w:r>
        <w:rPr>
          <w:rStyle w:val="Strong"/>
          <w:rFonts w:eastAsiaTheme="majorEastAsia"/>
        </w:rPr>
        <w:t>2023</w:t>
      </w:r>
      <w:r>
        <w:t>, duket se shifra stabilizohet dhe nuk ka më luhatje. Kjo tendencë e stabilizimit mund të tregojë një konsolidim të kapacitetit të sistemit arsimor ose faktorë demografikë që ndikojnë numrin e nxënësve. Në përgjithësi, tendenca tregon një fillim rënieje e më pas një periudhë stabiliteti në regjistrimet e nxënësve.</w:t>
      </w:r>
    </w:p>
    <w:p w:rsidR="00EF701A" w:rsidRDefault="00EF701A" w:rsidP="00BA3795"/>
    <w:p w:rsidR="00EF701A" w:rsidRDefault="00BA3795" w:rsidP="00BA3795">
      <w:r>
        <w:rPr>
          <w:noProof/>
        </w:rPr>
        <w:drawing>
          <wp:inline distT="0" distB="0" distL="0" distR="0" wp14:anchorId="211017E9" wp14:editId="0171FFCB">
            <wp:extent cx="5486400" cy="3200400"/>
            <wp:effectExtent l="0" t="0" r="0" b="0"/>
            <wp:docPr id="849538932" name="Chart 849538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F701A" w:rsidRDefault="00EF701A" w:rsidP="00BA3795"/>
    <w:p w:rsidR="00EF701A" w:rsidRDefault="00EF701A"/>
    <w:p w:rsidR="00EF701A" w:rsidRDefault="00BA3795" w:rsidP="00BA3795">
      <w:pPr>
        <w:pStyle w:val="dataNameStyle"/>
      </w:pPr>
      <w:r>
        <w:lastRenderedPageBreak/>
        <w:t>Shpenzimet e programit në lekë</w:t>
      </w:r>
    </w:p>
    <w:p w:rsidR="00EF701A" w:rsidRDefault="00BA3795">
      <w:pPr>
        <w:pStyle w:val="NormalWeb"/>
        <w:divId w:val="327946871"/>
      </w:pPr>
      <w:r>
        <w:t xml:space="preserve">Të dhënat për shpenzimet e programit në Bashkinë Roskovec tregojnë një ndryshim të ndjeshëm gjatë viteve të fundit. Në </w:t>
      </w:r>
      <w:r>
        <w:rPr>
          <w:rStyle w:val="Strong"/>
          <w:rFonts w:eastAsiaTheme="majorEastAsia"/>
        </w:rPr>
        <w:t>2021</w:t>
      </w:r>
      <w:r>
        <w:t xml:space="preserve">, shpenzimet ishin veçanërisht të larta, duke arritur shumën prej </w:t>
      </w:r>
      <w:r>
        <w:rPr>
          <w:rStyle w:val="Strong"/>
          <w:rFonts w:eastAsiaTheme="majorEastAsia"/>
        </w:rPr>
        <w:t>59,366,000</w:t>
      </w:r>
      <w:r>
        <w:t xml:space="preserve"> lekë, që përfaqëson vlerën më të lartë në të gjithë periudhën e dhënë. Në </w:t>
      </w:r>
      <w:r>
        <w:rPr>
          <w:rStyle w:val="Strong"/>
          <w:rFonts w:eastAsiaTheme="majorEastAsia"/>
        </w:rPr>
        <w:t>2022</w:t>
      </w:r>
      <w:r>
        <w:t xml:space="preserve">, shpenzimet ranë ndjeshëm në </w:t>
      </w:r>
      <w:r>
        <w:rPr>
          <w:rStyle w:val="Strong"/>
          <w:rFonts w:eastAsiaTheme="majorEastAsia"/>
        </w:rPr>
        <w:t>5,689,000</w:t>
      </w:r>
      <w:r>
        <w:t xml:space="preserve"> lekë, që është një ulje drastike krahasuar me vitin e kaluar. Për vitin </w:t>
      </w:r>
      <w:r>
        <w:rPr>
          <w:rStyle w:val="Strong"/>
          <w:rFonts w:eastAsiaTheme="majorEastAsia"/>
        </w:rPr>
        <w:t>2023</w:t>
      </w:r>
      <w:r>
        <w:t xml:space="preserve">, shpenzimet pësuan një rritje të vogël dhe arritën në </w:t>
      </w:r>
      <w:r>
        <w:rPr>
          <w:rStyle w:val="Strong"/>
          <w:rFonts w:eastAsiaTheme="majorEastAsia"/>
        </w:rPr>
        <w:t>5,770,000</w:t>
      </w:r>
      <w:r>
        <w:t xml:space="preserve"> lekë. Gjatë viteve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shpenzimet mbetën të qëndrueshme dhe të ulëta në shumën prej </w:t>
      </w:r>
      <w:r>
        <w:rPr>
          <w:rStyle w:val="Strong"/>
          <w:rFonts w:eastAsiaTheme="majorEastAsia"/>
        </w:rPr>
        <w:t>2,436,000</w:t>
      </w:r>
      <w:r>
        <w:t xml:space="preserve"> lekë për secilin vit. Kjo ulje e qëndrueshme tregon për një optimizim të buxhetit ose ndoshta për një reduktim të projekteve apo aktiviteteve të financuara. Ndryshimi dramatik nga 2021 në vitet pasuese tregon një ndryshim të strategjisë financiare në bashki. Këto shpenzime të vogla të qëndrueshme në vitet e fundit mund të tregojnë edhe për një stabilitet në menaxhimin financiar. Niveli i ulët i shpenzimeve mund të jetë rezultat i prioritizimit të aktiviteteve ose projekteve që kërkojnë më pak fonde financiare. Kjo analizë nënvizon rëndësinë e planifikimit të kujdesshëm dhe menaxhimit të burimeve në nivel bashkie.</w:t>
      </w:r>
    </w:p>
    <w:p w:rsidR="00EF701A" w:rsidRDefault="00EF701A" w:rsidP="00BA3795"/>
    <w:p w:rsidR="00EF701A" w:rsidRDefault="00BA3795" w:rsidP="00BA3795">
      <w:r>
        <w:rPr>
          <w:noProof/>
        </w:rPr>
        <w:drawing>
          <wp:inline distT="0" distB="0" distL="0" distR="0" wp14:anchorId="0D6EC06D" wp14:editId="6CD8D97B">
            <wp:extent cx="5486400" cy="3200400"/>
            <wp:effectExtent l="0" t="0" r="0" b="0"/>
            <wp:docPr id="1646821691" name="Chart 1646821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F701A" w:rsidRDefault="00EF701A" w:rsidP="00BA3795"/>
    <w:p w:rsidR="00EF701A" w:rsidRDefault="00BA3795" w:rsidP="00AE20D4">
      <w:pPr>
        <w:pStyle w:val="sherbimiemristyle"/>
        <w:jc w:val="left"/>
      </w:pPr>
      <w:bookmarkStart w:id="33" w:name="_Toc210053349"/>
      <w:r>
        <w:lastRenderedPageBreak/>
        <w:t>Menaxhimi i infrastrukturës së ujitjes dhe kullimit</w:t>
      </w:r>
      <w:bookmarkEnd w:id="33"/>
    </w:p>
    <w:p w:rsidR="00EF701A" w:rsidRDefault="00EF701A">
      <w:pPr>
        <w:rPr>
          <w:color w:val="0A2F41" w:themeColor="accent1" w:themeShade="80"/>
        </w:rPr>
      </w:pPr>
    </w:p>
    <w:p w:rsidR="00EF701A" w:rsidRDefault="00BA3795" w:rsidP="00BA3795">
      <w:pPr>
        <w:pStyle w:val="paragraphstyle"/>
      </w:pPr>
      <w:r>
        <w:t>Shërbimi i ujitje-kullimit përfshin mirëmbajtjen e kanaleve dytësore dhe tretësore u transferua bashkive në vitin 2016. Gjatë këtyre viteve është synuar përmirësimi i këtij shërbimi duke investuar në mirëmbajtjen e kësaj infrastrukture, për të ardhur në ndihmë të fermerëve dhe ekonomive vendore.  Bashkia është përgjegjëse për ndërtimin ose organizimin e sistemeve të kontrollit të përmbytjeve, sistemeve të ujitjes dhe kullimit, si dhe administrimin, shfrytëzimin dhe mirëmbajtjen e infrastrukturës së ujitjes dhe kullimit.</w:t>
      </w:r>
    </w:p>
    <w:p w:rsidR="00EF701A" w:rsidRDefault="00EF701A" w:rsidP="00BA3795">
      <w:pPr>
        <w:pStyle w:val="paragraphstyle"/>
      </w:pPr>
    </w:p>
    <w:p w:rsidR="00EF701A" w:rsidRDefault="00BA3795" w:rsidP="00BA3795">
      <w:pPr>
        <w:pStyle w:val="paragraphstyle"/>
        <w:sectPr w:rsidR="00EF701A" w:rsidSect="00BA3795">
          <w:headerReference w:type="even" r:id="rId32"/>
          <w:footerReference w:type="even" r:id="rId33"/>
          <w:footerReference w:type="default" r:id="rId34"/>
          <w:headerReference w:type="first" r:id="rId35"/>
          <w:footerReference w:type="first" r:id="rId36"/>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81792" behindDoc="0" locked="0" layoutInCell="1" allowOverlap="1" wp14:anchorId="561C3EC1" wp14:editId="14A0461C">
                <wp:simplePos x="0" y="0"/>
                <wp:positionH relativeFrom="margin">
                  <wp:align>right</wp:align>
                </wp:positionH>
                <wp:positionV relativeFrom="paragraph">
                  <wp:posOffset>445135</wp:posOffset>
                </wp:positionV>
                <wp:extent cx="5925185" cy="3346450"/>
                <wp:effectExtent l="0" t="0" r="0" b="6350"/>
                <wp:wrapSquare wrapText="bothSides"/>
                <wp:docPr id="2045269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7FBAB7A4" wp14:editId="39240231">
                                  <wp:extent cx="5730000" cy="3260000"/>
                                  <wp:effectExtent l="0" t="0" r="0" b="0"/>
                                  <wp:docPr id="1591337595" name="Picture 159133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7"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3EC1" id="_x0000_s1032" type="#_x0000_t202" style="position:absolute;left:0;text-align:left;margin-left:415.35pt;margin-top:35.05pt;width:466.55pt;height:263.5pt;z-index:251681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" filled="f" stroked="f">
                <v:textbox>
                  <w:txbxContent>
                    <w:p w:rsidR="00A8516B" w:rsidRDefault="00A8516B" w:rsidP="00BA3795">
                      <w:r>
                        <w:rPr>
                          <w:noProof/>
                        </w:rPr>
                        <w:drawing>
                          <wp:inline distT="0" distB="0" distL="0" distR="0" wp14:anchorId="7FBAB7A4" wp14:editId="39240231">
                            <wp:extent cx="5730000" cy="3260000"/>
                            <wp:effectExtent l="0" t="0" r="0" b="0"/>
                            <wp:docPr id="1591337595" name="Picture 159133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7"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809"/>
        <w:gridCol w:w="5605"/>
        <w:gridCol w:w="756"/>
        <w:gridCol w:w="756"/>
        <w:gridCol w:w="756"/>
        <w:gridCol w:w="756"/>
        <w:gridCol w:w="75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bujqësore e mbuluar me kullim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sipërfaqes bujqësore të mbuluar me kullim ndaj sipërfaqes totale bujqësore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71.32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71.32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71.32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71.32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72.49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bujqësore e mbuluar me ujitje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sipërfaqes bujqësore të mbuluar me ujitje ndaj sipërfaqes totale bujqësore ndër vite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44.25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 i rrjetit kullues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Km kanal kullues të pastruar kundrejt rrjetit total të kanaleve kulluese në pronësi të bashkisë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47.01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51.28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52.99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59.83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64.1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rrjetit ujitës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Km kanal vaditës të pastruar kundrejt rrjetit total të kanaleve ujitëse në pronësi të bashkisë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29.91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32.71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37.38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42.06</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p>
    <w:p w:rsidR="00EF701A" w:rsidRDefault="00EF701A"/>
    <w:p w:rsidR="00EF701A" w:rsidRDefault="00BA3795" w:rsidP="00BA3795">
      <w:pPr>
        <w:pStyle w:val="indicatorNameStyle"/>
        <w:numPr>
          <w:ilvl w:val="0"/>
          <w:numId w:val="3"/>
        </w:numPr>
      </w:pPr>
      <w:r>
        <w:t>Sipërfaqe bujqësore e mbuluar me ujitje</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AE20D4">
            <w:pPr>
              <w:pStyle w:val="StyleofText"/>
              <w:ind w:left="360"/>
            </w:pPr>
            <w:r>
              <w:t>Raporti në % i sipërfaqes bujqësore të mbuluar me ujitje ndaj sipërfaqes totale bujqësore ndër vite</w:t>
            </w:r>
          </w:p>
        </w:tc>
      </w:tr>
    </w:tbl>
    <w:p w:rsidR="00EF701A" w:rsidRDefault="00BA3795">
      <w:pPr>
        <w:pStyle w:val="NormalWeb"/>
        <w:divId w:val="135144118"/>
      </w:pPr>
      <w:r>
        <w:t xml:space="preserve">Raporti i sipërfaqes bujqësore të mbuluar me ujitje ndaj sipërfaqes totale bujqësore në Bashkinë Roskovec ka qenë i qëndrueshëm gjatë viteve të fundit. Gjatë periudhës 2021 deri në 2024, ky raport ka mbetur konstant në </w:t>
      </w:r>
      <w:r>
        <w:rPr>
          <w:rStyle w:val="Strong"/>
          <w:rFonts w:eastAsiaTheme="majorEastAsia"/>
        </w:rPr>
        <w:t>43.55%</w:t>
      </w:r>
      <w:r>
        <w:t xml:space="preserve">. Ky stabilitet mund të tregojë një investim dhe mirëmbajtje të qëndrueshme të infrastrukturës së ujitjes në këtë zonë. Në vitin </w:t>
      </w:r>
      <w:r>
        <w:rPr>
          <w:rStyle w:val="Strong"/>
          <w:rFonts w:eastAsiaTheme="majorEastAsia"/>
        </w:rPr>
        <w:t>2025</w:t>
      </w:r>
      <w:r>
        <w:t xml:space="preserve">, ka një rritje të vogël të raportit në </w:t>
      </w:r>
      <w:r>
        <w:rPr>
          <w:rStyle w:val="Strong"/>
          <w:rFonts w:eastAsiaTheme="majorEastAsia"/>
        </w:rPr>
        <w:t>43.84%</w:t>
      </w:r>
      <w:r>
        <w:t xml:space="preserve">, duke sugjeruar një përmiresim të lehtë në shërbimet e ujitjes. Kjo rritje vazhdon në vitin </w:t>
      </w:r>
      <w:r>
        <w:rPr>
          <w:rStyle w:val="Strong"/>
          <w:rFonts w:eastAsiaTheme="majorEastAsia"/>
        </w:rPr>
        <w:t>2026</w:t>
      </w:r>
      <w:r>
        <w:t xml:space="preserve"> me një tjetër ngritje të lehtë në </w:t>
      </w:r>
      <w:r>
        <w:rPr>
          <w:rStyle w:val="Strong"/>
          <w:rFonts w:eastAsiaTheme="majorEastAsia"/>
        </w:rPr>
        <w:t>44.25%</w:t>
      </w:r>
      <w:r>
        <w:t>. Kjo mund të jetë rezultat i politikave të reja ose investimeve në teknologji të avancuara për përdorimin e ujit. Megjithatë, ky përmirësim është i moderuar dhe i ngadalshëm. Në përgjithësi, përmirësimet në këtë sektor janë kryesisht në një nivel të qëndrueshëm, duke nënkuptuar një përkushtim ndaj zhvillimit të qëndrueshëm bujqësor. Vazhdimi i këtij trendi pozitiv mund të çojë në rritjen e produktivitetit bujqësor në të ardhmen. Bashkia Roskovec duket se po e trajton me seriozitet çështjen e ujitjes, por rritje më të konsiderueshme mund të jenë të nevojshme për të arritur një përmirësim më domethënës.</w:t>
      </w:r>
    </w:p>
    <w:p w:rsidR="00EF701A" w:rsidRDefault="00EF701A" w:rsidP="00BA3795"/>
    <w:p w:rsidR="00EF701A" w:rsidRDefault="00BA3795">
      <w:r>
        <w:rPr>
          <w:noProof/>
        </w:rPr>
        <w:drawing>
          <wp:inline distT="0" distB="0" distL="0" distR="0" wp14:anchorId="63AE6B66" wp14:editId="355B0FFB">
            <wp:extent cx="5486400" cy="3200400"/>
            <wp:effectExtent l="0" t="0" r="0" b="0"/>
            <wp:docPr id="1038691770" name="Chart 1038691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F701A" w:rsidRDefault="00EF701A" w:rsidP="00BA3795"/>
    <w:p w:rsidR="00EF701A" w:rsidRDefault="00EF701A" w:rsidP="00BA3795"/>
    <w:p w:rsidR="00EF701A" w:rsidRDefault="00EF701A" w:rsidP="00BA3795"/>
    <w:p w:rsidR="00EF701A" w:rsidRDefault="00EF701A"/>
    <w:p w:rsidR="00EF701A" w:rsidRDefault="00BA3795" w:rsidP="00BA3795">
      <w:pPr>
        <w:pStyle w:val="indicatorNameStyle"/>
        <w:numPr>
          <w:ilvl w:val="0"/>
          <w:numId w:val="3"/>
        </w:numPr>
      </w:pPr>
      <w:r>
        <w:t>Përmirësim i rrjetit kullues</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AE20D4">
            <w:pPr>
              <w:pStyle w:val="StyleofText"/>
              <w:ind w:left="360"/>
            </w:pPr>
            <w:r>
              <w:t>Km kanal kullues të pastruar kundrejt rrjetit total të kanaleve kulluese në pronësi të bashkisë (në %)</w:t>
            </w:r>
          </w:p>
        </w:tc>
      </w:tr>
    </w:tbl>
    <w:p w:rsidR="00EF701A" w:rsidRDefault="00BA3795">
      <w:pPr>
        <w:pStyle w:val="NormalWeb"/>
        <w:divId w:val="753237715"/>
      </w:pPr>
      <w:r>
        <w:t xml:space="preserve">Të dhënat për komunën e Roskovecit tregojnë një përmirësim të vazhdueshëm në pastrimin e kanaleve kulluese gjatë viteve 2021 deri në 2026. Në </w:t>
      </w:r>
      <w:r>
        <w:rPr>
          <w:rStyle w:val="Strong"/>
          <w:rFonts w:eastAsiaTheme="majorEastAsia"/>
        </w:rPr>
        <w:t>2021</w:t>
      </w:r>
      <w:r>
        <w:t xml:space="preserve">, </w:t>
      </w:r>
      <w:r>
        <w:rPr>
          <w:rStyle w:val="Strong"/>
          <w:rFonts w:eastAsiaTheme="majorEastAsia"/>
        </w:rPr>
        <w:t>47.01%</w:t>
      </w:r>
      <w:r>
        <w:t xml:space="preserve"> e rrjetit total të kanaleve kulluese ishte pastruar. Ky përqindje është rritur në </w:t>
      </w:r>
      <w:r>
        <w:rPr>
          <w:rStyle w:val="Strong"/>
          <w:rFonts w:eastAsiaTheme="majorEastAsia"/>
        </w:rPr>
        <w:t>51.28%</w:t>
      </w:r>
      <w:r>
        <w:t xml:space="preserve"> në </w:t>
      </w:r>
      <w:r>
        <w:rPr>
          <w:rStyle w:val="Strong"/>
          <w:rFonts w:eastAsiaTheme="majorEastAsia"/>
        </w:rPr>
        <w:t>2022</w:t>
      </w:r>
      <w:r>
        <w:t xml:space="preserve">, duke treguar një përparim të konsiderueshëm. Pastrimi vazhdoi të përmirësohet në </w:t>
      </w:r>
      <w:r>
        <w:rPr>
          <w:rStyle w:val="Strong"/>
          <w:rFonts w:eastAsiaTheme="majorEastAsia"/>
        </w:rPr>
        <w:t>2023</w:t>
      </w:r>
      <w:r>
        <w:t xml:space="preserve">, duke arritur </w:t>
      </w:r>
      <w:r>
        <w:rPr>
          <w:rStyle w:val="Strong"/>
          <w:rFonts w:eastAsiaTheme="majorEastAsia"/>
        </w:rPr>
        <w:t>52.99%</w:t>
      </w:r>
      <w:r>
        <w:t xml:space="preserve">. Në </w:t>
      </w:r>
      <w:r>
        <w:rPr>
          <w:rStyle w:val="Strong"/>
          <w:rFonts w:eastAsiaTheme="majorEastAsia"/>
        </w:rPr>
        <w:t>2024</w:t>
      </w:r>
      <w:r>
        <w:t xml:space="preserve">, përqindja e kanaleve të pastruara u rrit më tej në </w:t>
      </w:r>
      <w:r>
        <w:rPr>
          <w:rStyle w:val="Strong"/>
          <w:rFonts w:eastAsiaTheme="majorEastAsia"/>
        </w:rPr>
        <w:t>55.56%</w:t>
      </w:r>
      <w:r>
        <w:t xml:space="preserve">. Një përparim i ndjeshëm u arrit në </w:t>
      </w:r>
      <w:r>
        <w:rPr>
          <w:rStyle w:val="Strong"/>
          <w:rFonts w:eastAsiaTheme="majorEastAsia"/>
        </w:rPr>
        <w:t>2025</w:t>
      </w:r>
      <w:r>
        <w:t xml:space="preserve"> me </w:t>
      </w:r>
      <w:r>
        <w:rPr>
          <w:rStyle w:val="Strong"/>
          <w:rFonts w:eastAsiaTheme="majorEastAsia"/>
        </w:rPr>
        <w:t>59.83%</w:t>
      </w:r>
      <w:r>
        <w:t xml:space="preserve"> të rrjetit të pastruar. Projekti i pastrimit arriti një kulm në </w:t>
      </w:r>
      <w:r>
        <w:rPr>
          <w:rStyle w:val="Strong"/>
          <w:rFonts w:eastAsiaTheme="majorEastAsia"/>
        </w:rPr>
        <w:t>2026</w:t>
      </w:r>
      <w:r>
        <w:t xml:space="preserve"> duke arritur </w:t>
      </w:r>
      <w:r>
        <w:rPr>
          <w:rStyle w:val="Strong"/>
          <w:rFonts w:eastAsiaTheme="majorEastAsia"/>
        </w:rPr>
        <w:t>64.1%</w:t>
      </w:r>
      <w:r>
        <w:t>. Kjo gjithashtu sugjeron një angazhim të vazhdueshëm dhe efektivitet më të madh në mirëmbajtjen e rrjetit të kanaleve kulluese. Përmirësimet vit pas viti tregojnë për një menaxhim më të mirë të burimeve dhe planifikim të efektshëm. Ky progres i përshpejtuar tregon se bashkia ka përparësi ndaj infrastrukturës së ujërave për të përmirësuar cilësinë e jetës dhe mbrojtjen e mjedisit. Vlerat e përmendura tregojnë një qasje strategjike nga bashkia për të arritur qëllimet e saj të zhvillimit.</w:t>
      </w:r>
    </w:p>
    <w:p w:rsidR="00EF701A" w:rsidRDefault="00EF701A" w:rsidP="00BA3795"/>
    <w:p w:rsidR="00EF701A" w:rsidRDefault="00BA3795">
      <w:r>
        <w:rPr>
          <w:noProof/>
        </w:rPr>
        <w:lastRenderedPageBreak/>
        <w:drawing>
          <wp:inline distT="0" distB="0" distL="0" distR="0" wp14:anchorId="0180E78E" wp14:editId="493FDE1E">
            <wp:extent cx="5486400" cy="3200400"/>
            <wp:effectExtent l="0" t="0" r="0" b="0"/>
            <wp:docPr id="2041258954" name="Chart 20412589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F701A" w:rsidRDefault="00EF701A" w:rsidP="00BA3795"/>
    <w:p w:rsidR="00EF701A" w:rsidRDefault="00EF701A" w:rsidP="00BA3795"/>
    <w:p w:rsidR="00EF701A" w:rsidRDefault="00EF701A" w:rsidP="00BA3795"/>
    <w:p w:rsidR="00EF701A" w:rsidRDefault="00EF701A"/>
    <w:p w:rsidR="00EF701A" w:rsidRDefault="00BA3795" w:rsidP="00BA3795">
      <w:pPr>
        <w:pStyle w:val="indicatorNameStyle"/>
        <w:numPr>
          <w:ilvl w:val="0"/>
          <w:numId w:val="3"/>
        </w:numPr>
      </w:pPr>
      <w:r>
        <w:t>Përmirësimi i rrjetit ujitës</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AE20D4">
            <w:pPr>
              <w:pStyle w:val="StyleofText"/>
              <w:ind w:left="360"/>
            </w:pPr>
            <w:r>
              <w:t>Km kanal vaditës të pastruar kundrejt rrjetit total të kanaleve ujitëse në pronësi të bashkisë (në %)</w:t>
            </w:r>
          </w:p>
        </w:tc>
      </w:tr>
    </w:tbl>
    <w:p w:rsidR="00EF701A" w:rsidRDefault="00BA3795">
      <w:pPr>
        <w:pStyle w:val="NormalWeb"/>
        <w:divId w:val="366027226"/>
      </w:pPr>
      <w:r>
        <w:t xml:space="preserve">Interpretimi i të dhënave të bashkisë Roskovec për kanalet vaditëse tregon një trend pozitiv në pastrimin e këtyre kanaleve ndër vite. Në vitin </w:t>
      </w:r>
      <w:r>
        <w:rPr>
          <w:rStyle w:val="Strong"/>
          <w:rFonts w:eastAsiaTheme="majorEastAsia"/>
        </w:rPr>
        <w:t>2021</w:t>
      </w:r>
      <w:r>
        <w:t xml:space="preserve">, vetëm </w:t>
      </w:r>
      <w:r>
        <w:rPr>
          <w:rStyle w:val="Strong"/>
          <w:rFonts w:eastAsiaTheme="majorEastAsia"/>
        </w:rPr>
        <w:t>20.56%</w:t>
      </w:r>
      <w:r>
        <w:t xml:space="preserve"> e rrjetit total të kanaleve ujitëse në pronësi të bashkisë ishte pastruar. Ky nivel ra në </w:t>
      </w:r>
      <w:r>
        <w:rPr>
          <w:rStyle w:val="Strong"/>
          <w:rFonts w:eastAsiaTheme="majorEastAsia"/>
        </w:rPr>
        <w:t>2022</w:t>
      </w:r>
      <w:r>
        <w:t xml:space="preserve">, kur përqindja e pastruar ishte </w:t>
      </w:r>
      <w:r>
        <w:rPr>
          <w:rStyle w:val="Strong"/>
          <w:rFonts w:eastAsiaTheme="majorEastAsia"/>
        </w:rPr>
        <w:t>14.02%</w:t>
      </w:r>
      <w:r>
        <w:t xml:space="preserve">, çka sugjeron një ulje të përkohshme të përpjekjeve ose burimeve të dedikuara për pastrim. Megjithatë, në vitin </w:t>
      </w:r>
      <w:r>
        <w:rPr>
          <w:rStyle w:val="Strong"/>
          <w:rFonts w:eastAsiaTheme="majorEastAsia"/>
        </w:rPr>
        <w:t>2023</w:t>
      </w:r>
      <w:r>
        <w:t xml:space="preserve">, përpjekjet u intensifikuan, duke u rritur kështu përqindja e kanaleve të pastruara në </w:t>
      </w:r>
      <w:r>
        <w:rPr>
          <w:rStyle w:val="Strong"/>
          <w:rFonts w:eastAsiaTheme="majorEastAsia"/>
        </w:rPr>
        <w:t>29.91%</w:t>
      </w:r>
      <w:r>
        <w:t xml:space="preserve">. Përmirësimi vazhdoi në vitin </w:t>
      </w:r>
      <w:r>
        <w:rPr>
          <w:rStyle w:val="Strong"/>
          <w:rFonts w:eastAsiaTheme="majorEastAsia"/>
        </w:rPr>
        <w:t>2024</w:t>
      </w:r>
      <w:r>
        <w:t xml:space="preserve">, kur pastrimi arriti në </w:t>
      </w:r>
      <w:r>
        <w:rPr>
          <w:rStyle w:val="Strong"/>
          <w:rFonts w:eastAsiaTheme="majorEastAsia"/>
        </w:rPr>
        <w:t>32.71%</w:t>
      </w:r>
      <w:r>
        <w:t xml:space="preserve"> të rrjetit total. Politikat dhe masat e ndërmarra duket se po japin efekt, pasi në vitin </w:t>
      </w:r>
      <w:r>
        <w:rPr>
          <w:rStyle w:val="Strong"/>
          <w:rFonts w:eastAsiaTheme="majorEastAsia"/>
        </w:rPr>
        <w:t>2025</w:t>
      </w:r>
      <w:r>
        <w:t xml:space="preserve">, </w:t>
      </w:r>
      <w:r>
        <w:rPr>
          <w:rStyle w:val="Strong"/>
          <w:rFonts w:eastAsiaTheme="majorEastAsia"/>
        </w:rPr>
        <w:t>37.38%</w:t>
      </w:r>
      <w:r>
        <w:t xml:space="preserve"> e kanaleve ishin pastruar. Progresi është edhe më i dukshëm në projeksionin për vitin </w:t>
      </w:r>
      <w:r>
        <w:rPr>
          <w:rStyle w:val="Strong"/>
          <w:rFonts w:eastAsiaTheme="majorEastAsia"/>
        </w:rPr>
        <w:t>2026</w:t>
      </w:r>
      <w:r>
        <w:t xml:space="preserve">, me një përqindje pastrimi prej </w:t>
      </w:r>
      <w:r>
        <w:rPr>
          <w:rStyle w:val="Strong"/>
          <w:rFonts w:eastAsiaTheme="majorEastAsia"/>
        </w:rPr>
        <w:t>42.06%</w:t>
      </w:r>
      <w:r>
        <w:t>, që përfaqëson një përmirësim të qëndrueshëm dhe të vazhdueshëm. Ky rritje sugjeron një përkushtim të shtuar të bashkisë në mirëmbajtjen dhe menaxhimin e infrastrukturës ujitëse. Të dhënat reflektuar një drejtim të qartë drejt përmirësimit dhe optimizimit të sistemit të vaditjes, duke ndikuar pozitivisht tek produktiviteti bujqësor në rajon.</w:t>
      </w:r>
    </w:p>
    <w:p w:rsidR="00EF701A" w:rsidRDefault="00EF701A" w:rsidP="00BA3795"/>
    <w:p w:rsidR="00EF701A" w:rsidRDefault="00BA3795">
      <w:r>
        <w:rPr>
          <w:noProof/>
        </w:rPr>
        <w:drawing>
          <wp:inline distT="0" distB="0" distL="0" distR="0" wp14:anchorId="32391332" wp14:editId="52A2327D">
            <wp:extent cx="5486400" cy="3200400"/>
            <wp:effectExtent l="0" t="0" r="0" b="0"/>
            <wp:docPr id="164920262" name="Chart 164920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F701A" w:rsidRDefault="00EF701A" w:rsidP="00BA3795"/>
    <w:p w:rsidR="00EF701A" w:rsidRDefault="00EF701A" w:rsidP="00BA3795"/>
    <w:p w:rsidR="00EF701A" w:rsidRDefault="00EF701A" w:rsidP="00BA3795"/>
    <w:p w:rsidR="00EF701A" w:rsidRDefault="00EF701A" w:rsidP="00BA3795">
      <w:pPr>
        <w:rPr>
          <w:rFonts w:cs="Times New Roman"/>
        </w:rPr>
      </w:pP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494"/>
        <w:gridCol w:w="1056"/>
        <w:gridCol w:w="1176"/>
        <w:gridCol w:w="1056"/>
        <w:gridCol w:w="1056"/>
        <w:gridCol w:w="1056"/>
        <w:gridCol w:w="10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Diga dhe rezervuarë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e tokës bujqësore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8553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kullues në pronësi të bashkisë në total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ujitës në pronësi të bashkisë në total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Diga funksionale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per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Rezervuarë funksionksionalë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për pastrim dhe mirëmbajtjen e sistemit ujitës dhe kullues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6605000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12270000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7242000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8569000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8569000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8569000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ujitës dhe kullues në pronësi të bashkisë në total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tokës bujqësore e mbuluar me sistem ujitës dhe kullues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9900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9985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 nga tarifa për shërbimin e ujitjes dhe kullimit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4770000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4133000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Diga dhe rezervuarë të mirëmbajtur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familjeve fermere që përfitojnë nga shërbimi i ujitjes dhe kullimit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1680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1750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Inspektime në sistemin ujitës dhe kullues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ujitës i mirëmbajtur/pastruar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kullues i mirëmbajtur/pastruar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tokës bujqësore e mbuluar me sistem kullues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6200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tokës bujqësore e mbuluar me sistem ujitës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3785</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p>
    <w:p w:rsidR="00EF701A" w:rsidRDefault="00EF701A"/>
    <w:p w:rsidR="00EF701A" w:rsidRDefault="00BA3795" w:rsidP="00BA3795">
      <w:pPr>
        <w:pStyle w:val="dataNameStyle"/>
      </w:pPr>
      <w:r>
        <w:t>Numri i familjeve fermere që përfitojnë nga shërbimi i ujitjes dhe kullimit</w:t>
      </w:r>
    </w:p>
    <w:p w:rsidR="00EF701A" w:rsidRDefault="00BA3795">
      <w:pPr>
        <w:pStyle w:val="NormalWeb"/>
        <w:divId w:val="1225676096"/>
      </w:pPr>
      <w:r>
        <w:t xml:space="preserve">Të dhënat e bashkisë Roskovec tregojnë një rritje të vazhdueshme në numrin e familjeve fermere që përfitojnë nga shërbimet e ujitjes dhe kullimit gjatë një periudhe pesëvjeçare. Në </w:t>
      </w:r>
      <w:r>
        <w:rPr>
          <w:rStyle w:val="Strong"/>
          <w:rFonts w:eastAsiaTheme="majorEastAsia"/>
        </w:rPr>
        <w:t>2021</w:t>
      </w:r>
      <w:r>
        <w:t xml:space="preserve">, numri i familjeve shënon </w:t>
      </w:r>
      <w:r>
        <w:rPr>
          <w:rStyle w:val="Strong"/>
          <w:rFonts w:eastAsiaTheme="majorEastAsia"/>
        </w:rPr>
        <w:t>740</w:t>
      </w:r>
      <w:r>
        <w:t xml:space="preserve">. Ky numër rritet ndjeshëm në </w:t>
      </w:r>
      <w:r>
        <w:rPr>
          <w:rStyle w:val="Strong"/>
          <w:rFonts w:eastAsiaTheme="majorEastAsia"/>
        </w:rPr>
        <w:t>2022</w:t>
      </w:r>
      <w:r>
        <w:t xml:space="preserve">, duke arritur në </w:t>
      </w:r>
      <w:r>
        <w:rPr>
          <w:rStyle w:val="Strong"/>
          <w:rFonts w:eastAsiaTheme="majorEastAsia"/>
        </w:rPr>
        <w:t>1000</w:t>
      </w:r>
      <w:r>
        <w:t xml:space="preserve"> familje. Viti </w:t>
      </w:r>
      <w:r>
        <w:rPr>
          <w:rStyle w:val="Strong"/>
          <w:rFonts w:eastAsiaTheme="majorEastAsia"/>
        </w:rPr>
        <w:t>2023</w:t>
      </w:r>
      <w:r>
        <w:t xml:space="preserve"> shënon një rritje të mëtejshme, me </w:t>
      </w:r>
      <w:r>
        <w:rPr>
          <w:rStyle w:val="Strong"/>
          <w:rFonts w:eastAsiaTheme="majorEastAsia"/>
        </w:rPr>
        <w:t>1660</w:t>
      </w:r>
      <w:r>
        <w:t xml:space="preserve"> familje që përfitojnë nga shërbimi. Projektohet që në </w:t>
      </w:r>
      <w:r>
        <w:rPr>
          <w:rStyle w:val="Strong"/>
          <w:rFonts w:eastAsiaTheme="majorEastAsia"/>
        </w:rPr>
        <w:t>2024</w:t>
      </w:r>
      <w:r>
        <w:t xml:space="preserve">, numri të arrijë në </w:t>
      </w:r>
      <w:r>
        <w:rPr>
          <w:rStyle w:val="Strong"/>
          <w:rFonts w:eastAsiaTheme="majorEastAsia"/>
        </w:rPr>
        <w:t>1680</w:t>
      </w:r>
      <w:r>
        <w:t xml:space="preserve">. Për </w:t>
      </w:r>
      <w:r>
        <w:rPr>
          <w:rStyle w:val="Strong"/>
          <w:rFonts w:eastAsiaTheme="majorEastAsia"/>
        </w:rPr>
        <w:t>2025</w:t>
      </w:r>
      <w:r>
        <w:t xml:space="preserve">, parashikohet një rritje e vogël në </w:t>
      </w:r>
      <w:r>
        <w:rPr>
          <w:rStyle w:val="Strong"/>
          <w:rFonts w:eastAsiaTheme="majorEastAsia"/>
        </w:rPr>
        <w:t>1700</w:t>
      </w:r>
      <w:r>
        <w:t xml:space="preserve"> familje. Deri në </w:t>
      </w:r>
      <w:r>
        <w:rPr>
          <w:rStyle w:val="Strong"/>
          <w:rFonts w:eastAsiaTheme="majorEastAsia"/>
        </w:rPr>
        <w:t>2026</w:t>
      </w:r>
      <w:r>
        <w:t xml:space="preserve">, familjet përfituese pritet të jenë </w:t>
      </w:r>
      <w:r>
        <w:rPr>
          <w:rStyle w:val="Strong"/>
          <w:rFonts w:eastAsiaTheme="majorEastAsia"/>
        </w:rPr>
        <w:t>1750</w:t>
      </w:r>
      <w:r>
        <w:t>. Kjo tendencë rritjeje pasqyron përpjekjet për të përmirësuar infrastrukturën e ujitjes dhe kullimit. Përmirësimi i shërbimeve ka për qëllim të mbështesë fermat në rajon. Rritja e numrit tregon një angazhim të vazhdueshëm për zhvillimin e bujqësisë. Përparimi sugjeron një ndikim pozitiv në prodhimin bujqësor dhe ekonomi lokale.</w:t>
      </w:r>
    </w:p>
    <w:p w:rsidR="00EF701A" w:rsidRDefault="00EF701A" w:rsidP="00BA3795"/>
    <w:p w:rsidR="00EF701A" w:rsidRDefault="00BA3795" w:rsidP="00BA3795">
      <w:r>
        <w:rPr>
          <w:noProof/>
        </w:rPr>
        <w:drawing>
          <wp:inline distT="0" distB="0" distL="0" distR="0" wp14:anchorId="3377D0A2" wp14:editId="168BADEC">
            <wp:extent cx="5486400" cy="3200400"/>
            <wp:effectExtent l="0" t="0" r="0" b="0"/>
            <wp:docPr id="513384498" name="Chart 513384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F701A" w:rsidRDefault="00EF701A" w:rsidP="00BA3795"/>
    <w:p w:rsidR="00EF701A" w:rsidRDefault="00EF701A"/>
    <w:p w:rsidR="00EF701A" w:rsidRDefault="00BA3795" w:rsidP="00BA3795">
      <w:pPr>
        <w:pStyle w:val="dataNameStyle"/>
      </w:pPr>
      <w:r>
        <w:lastRenderedPageBreak/>
        <w:t>Rrjet ujitës i mirëmbajtur/pastruar në km</w:t>
      </w:r>
    </w:p>
    <w:p w:rsidR="00DB2B53" w:rsidRPr="00DB2B53" w:rsidRDefault="00DB2B53" w:rsidP="00DB2B53">
      <w:pPr>
        <w:pStyle w:val="NormalWeb"/>
        <w:divId w:val="311060383"/>
      </w:pPr>
      <w:r w:rsidRPr="00DB2B53">
        <w:t xml:space="preserve">Të dhënat e bashkisë Roskovec tregojnë ndryshime domethënëse në mirëmbajtjen dhe pastrimin e rrjetit ujitës përgjatë disa viteve. Në </w:t>
      </w:r>
      <w:r w:rsidRPr="00DB2B53">
        <w:rPr>
          <w:b/>
          <w:bCs/>
        </w:rPr>
        <w:t>2021</w:t>
      </w:r>
      <w:r w:rsidRPr="00DB2B53">
        <w:t xml:space="preserve">, janë mirëmbajtur dhe pastruar </w:t>
      </w:r>
      <w:r w:rsidRPr="00DB2B53">
        <w:rPr>
          <w:b/>
          <w:bCs/>
        </w:rPr>
        <w:t>22 km</w:t>
      </w:r>
      <w:r w:rsidRPr="00DB2B53">
        <w:t xml:space="preserve"> të rrjetit ujitës. Viti </w:t>
      </w:r>
      <w:r w:rsidRPr="00DB2B53">
        <w:rPr>
          <w:b/>
          <w:bCs/>
        </w:rPr>
        <w:t>2022</w:t>
      </w:r>
      <w:r w:rsidRPr="00DB2B53">
        <w:t xml:space="preserve"> përjetoi një rënie në </w:t>
      </w:r>
      <w:r w:rsidRPr="00DB2B53">
        <w:rPr>
          <w:b/>
          <w:bCs/>
        </w:rPr>
        <w:t>15 km</w:t>
      </w:r>
      <w:r w:rsidRPr="00DB2B53">
        <w:t xml:space="preserve">, tregues i një angazhimi më të ulët ose sfidave të tjera. Duke kaluar në </w:t>
      </w:r>
      <w:r w:rsidRPr="00DB2B53">
        <w:rPr>
          <w:b/>
          <w:bCs/>
        </w:rPr>
        <w:t>2023</w:t>
      </w:r>
      <w:r w:rsidRPr="00DB2B53">
        <w:t xml:space="preserve">, pati një rritje të konsiderueshme në </w:t>
      </w:r>
      <w:r w:rsidRPr="00DB2B53">
        <w:rPr>
          <w:b/>
          <w:bCs/>
        </w:rPr>
        <w:t>32 km</w:t>
      </w:r>
      <w:r w:rsidRPr="00DB2B53">
        <w:t xml:space="preserve">, që sinjalizon një kthim te përpjekjet më të forta për mirëmbajtje. Prognozat për vitet pasuese tregojnë një trend pozitiv dhe përkushtim në menaxhim. Në </w:t>
      </w:r>
      <w:r w:rsidRPr="00DB2B53">
        <w:rPr>
          <w:b/>
          <w:bCs/>
        </w:rPr>
        <w:t>2024</w:t>
      </w:r>
      <w:r w:rsidRPr="00DB2B53">
        <w:t xml:space="preserve">, pritet të mirëmbahen </w:t>
      </w:r>
      <w:r w:rsidRPr="00DB2B53">
        <w:rPr>
          <w:b/>
          <w:bCs/>
        </w:rPr>
        <w:t>35 km</w:t>
      </w:r>
      <w:r w:rsidRPr="00DB2B53">
        <w:t xml:space="preserve">, ndërsa </w:t>
      </w:r>
      <w:r w:rsidRPr="00DB2B53">
        <w:rPr>
          <w:b/>
          <w:bCs/>
        </w:rPr>
        <w:t>2025</w:t>
      </w:r>
      <w:r w:rsidRPr="00DB2B53">
        <w:t xml:space="preserve"> sheh një rritje tjetër në </w:t>
      </w:r>
      <w:r w:rsidRPr="00DB2B53">
        <w:rPr>
          <w:b/>
          <w:bCs/>
        </w:rPr>
        <w:t>40 km</w:t>
      </w:r>
      <w:r w:rsidRPr="00DB2B53">
        <w:t xml:space="preserve">. Viti </w:t>
      </w:r>
      <w:r w:rsidRPr="00DB2B53">
        <w:rPr>
          <w:b/>
          <w:bCs/>
        </w:rPr>
        <w:t>2026</w:t>
      </w:r>
      <w:r w:rsidRPr="00DB2B53">
        <w:t xml:space="preserve"> përmbyllet me </w:t>
      </w:r>
      <w:r w:rsidRPr="00DB2B53">
        <w:rPr>
          <w:b/>
          <w:bCs/>
        </w:rPr>
        <w:t>45 km</w:t>
      </w:r>
      <w:r w:rsidRPr="00DB2B53">
        <w:t>, që është vlera më e lartë e planifikuar deri më tani. Ky trend rritës tregon një fokus të përhershëm për përmirësimin e infrastrukturës së ujitjes. Këto përmirësime mund të kenë ndikime pozitive në bujqësi dhe menaxhimin e burimeve ujore. Rritja në mirëmbajtje reflekton një prioritet më të lartë të bashkisë për menaxhimin efikas të burimeve ujore.</w:t>
      </w:r>
    </w:p>
    <w:p w:rsidR="00DB2B53" w:rsidRDefault="00DB2B53">
      <w:pPr>
        <w:pStyle w:val="NormalWeb"/>
        <w:divId w:val="311060383"/>
      </w:pPr>
    </w:p>
    <w:p w:rsidR="00EF701A" w:rsidRDefault="00EF701A" w:rsidP="00BA3795"/>
    <w:p w:rsidR="00EF701A" w:rsidRDefault="00BA3795" w:rsidP="00BA3795">
      <w:r>
        <w:rPr>
          <w:noProof/>
        </w:rPr>
        <w:drawing>
          <wp:inline distT="0" distB="0" distL="0" distR="0" wp14:anchorId="079BECC3" wp14:editId="03D6A6E5">
            <wp:extent cx="5486400" cy="3200400"/>
            <wp:effectExtent l="0" t="0" r="0" b="0"/>
            <wp:docPr id="2118196851" name="Chart 21181968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F701A" w:rsidRDefault="00EF701A" w:rsidP="00BA3795"/>
    <w:p w:rsidR="00EF701A" w:rsidRDefault="00EF701A"/>
    <w:p w:rsidR="00EF701A" w:rsidRDefault="00BA3795" w:rsidP="00BA3795">
      <w:pPr>
        <w:pStyle w:val="dataNameStyle"/>
      </w:pPr>
      <w:r>
        <w:t>Rrjet kullues i mirëmbajtur/pastruar në km</w:t>
      </w:r>
    </w:p>
    <w:p w:rsidR="00DB2B53" w:rsidRPr="00DB2B53" w:rsidRDefault="00DB2B53" w:rsidP="00DB2B53">
      <w:pPr>
        <w:pStyle w:val="NormalWeb"/>
        <w:divId w:val="179512371"/>
      </w:pPr>
      <w:r w:rsidRPr="00DB2B53">
        <w:t xml:space="preserve">Të dhënat për mirëmbajtjen dhe pastrimin e rrjetit kullues në Bashkinë Roskovec tregojnë një trend rritës në periudhën kohore nga viti </w:t>
      </w:r>
      <w:r w:rsidRPr="00DB2B53">
        <w:rPr>
          <w:b/>
          <w:bCs/>
        </w:rPr>
        <w:t>2021</w:t>
      </w:r>
      <w:r w:rsidRPr="00DB2B53">
        <w:t xml:space="preserve"> deri në </w:t>
      </w:r>
      <w:r w:rsidRPr="00DB2B53">
        <w:rPr>
          <w:b/>
          <w:bCs/>
        </w:rPr>
        <w:t>2026</w:t>
      </w:r>
      <w:r w:rsidRPr="00DB2B53">
        <w:t xml:space="preserve">. Në vitin </w:t>
      </w:r>
      <w:r w:rsidRPr="00DB2B53">
        <w:rPr>
          <w:b/>
          <w:bCs/>
        </w:rPr>
        <w:t>2021</w:t>
      </w:r>
      <w:r w:rsidRPr="00DB2B53">
        <w:t xml:space="preserve">, rrjeti është mirëmbajtur në një gjatësi prej </w:t>
      </w:r>
      <w:r w:rsidRPr="00DB2B53">
        <w:rPr>
          <w:b/>
          <w:bCs/>
        </w:rPr>
        <w:t>55 km</w:t>
      </w:r>
      <w:r w:rsidRPr="00DB2B53">
        <w:t xml:space="preserve">. Në </w:t>
      </w:r>
      <w:r w:rsidRPr="00DB2B53">
        <w:rPr>
          <w:b/>
          <w:bCs/>
        </w:rPr>
        <w:t>2022</w:t>
      </w:r>
      <w:r w:rsidRPr="00DB2B53">
        <w:t xml:space="preserve">, kjo shifër rritet në </w:t>
      </w:r>
      <w:r w:rsidRPr="00DB2B53">
        <w:rPr>
          <w:b/>
          <w:bCs/>
        </w:rPr>
        <w:t>60 km</w:t>
      </w:r>
      <w:r w:rsidRPr="00DB2B53">
        <w:t xml:space="preserve">, duke shënuar një përmirësim prej </w:t>
      </w:r>
      <w:r w:rsidRPr="00DB2B53">
        <w:rPr>
          <w:b/>
          <w:bCs/>
        </w:rPr>
        <w:t>5 km</w:t>
      </w:r>
      <w:r w:rsidRPr="00DB2B53">
        <w:t xml:space="preserve"> </w:t>
      </w:r>
      <w:r w:rsidRPr="00DB2B53">
        <w:lastRenderedPageBreak/>
        <w:t xml:space="preserve">nga viti i mëparshëm. Tendenca pozitive vazhdon edhe në </w:t>
      </w:r>
      <w:r w:rsidRPr="00DB2B53">
        <w:rPr>
          <w:b/>
          <w:bCs/>
        </w:rPr>
        <w:t>2023</w:t>
      </w:r>
      <w:r w:rsidRPr="00DB2B53">
        <w:t xml:space="preserve">, ku rrjeti i mirëmbajtur arrin në </w:t>
      </w:r>
      <w:r w:rsidRPr="00DB2B53">
        <w:rPr>
          <w:b/>
          <w:bCs/>
        </w:rPr>
        <w:t>62 km</w:t>
      </w:r>
      <w:r w:rsidRPr="00DB2B53">
        <w:t xml:space="preserve">. Në vitin </w:t>
      </w:r>
      <w:r w:rsidRPr="00DB2B53">
        <w:rPr>
          <w:b/>
          <w:bCs/>
        </w:rPr>
        <w:t>2024</w:t>
      </w:r>
      <w:r w:rsidRPr="00DB2B53">
        <w:t xml:space="preserve">, ka një tjetër shtesë prej </w:t>
      </w:r>
      <w:r w:rsidRPr="00DB2B53">
        <w:rPr>
          <w:b/>
          <w:bCs/>
        </w:rPr>
        <w:t>3 km</w:t>
      </w:r>
      <w:r w:rsidRPr="00DB2B53">
        <w:t xml:space="preserve">, duke e çuar totalin në </w:t>
      </w:r>
      <w:r w:rsidRPr="00DB2B53">
        <w:rPr>
          <w:b/>
          <w:bCs/>
        </w:rPr>
        <w:t>65 km</w:t>
      </w:r>
      <w:r w:rsidRPr="00DB2B53">
        <w:t xml:space="preserve">. Për vitin </w:t>
      </w:r>
      <w:r w:rsidRPr="00DB2B53">
        <w:rPr>
          <w:b/>
          <w:bCs/>
        </w:rPr>
        <w:t>2025</w:t>
      </w:r>
      <w:r w:rsidRPr="00DB2B53">
        <w:t xml:space="preserve">, mirëmbajtja arrin në </w:t>
      </w:r>
      <w:r w:rsidRPr="00DB2B53">
        <w:rPr>
          <w:b/>
          <w:bCs/>
        </w:rPr>
        <w:t>70 km</w:t>
      </w:r>
      <w:r w:rsidRPr="00DB2B53">
        <w:t xml:space="preserve">, që tregon fokus të vazhdueshëm në përmirësimin e infrastrukturës. Në </w:t>
      </w:r>
      <w:r w:rsidRPr="00DB2B53">
        <w:rPr>
          <w:b/>
          <w:bCs/>
        </w:rPr>
        <w:t>2026</w:t>
      </w:r>
      <w:r w:rsidRPr="00DB2B53">
        <w:t xml:space="preserve">, rrjeti i mirëmbajtur arrin kulmin me </w:t>
      </w:r>
      <w:r w:rsidRPr="00DB2B53">
        <w:rPr>
          <w:b/>
          <w:bCs/>
        </w:rPr>
        <w:t>75 km</w:t>
      </w:r>
      <w:r w:rsidRPr="00DB2B53">
        <w:t xml:space="preserve">, duke pasqyruar një angazhim të qartë të bashkisë për të përmirësuar dhe ruajtur rrjetin kullues. Ky progres i qëndrueshëm tregon një përparësi të bashkisë në menaxhimin e ujërave dhe parandalimin e përmbytjeve. Gjithashtu, rritja e vërejtur çdo vit, veçanërisht pas </w:t>
      </w:r>
      <w:r w:rsidRPr="00DB2B53">
        <w:rPr>
          <w:b/>
          <w:bCs/>
        </w:rPr>
        <w:t>2023</w:t>
      </w:r>
      <w:r w:rsidRPr="00DB2B53">
        <w:t>, nënkupton planifikim strategjik dhe investime të qëndrueshme. Këto përmirësime janë të rëndësishme për zhvillimin ekonomik dhe mjedisor të zonës.</w:t>
      </w:r>
    </w:p>
    <w:p w:rsidR="00DB2B53" w:rsidRDefault="00DB2B53">
      <w:pPr>
        <w:pStyle w:val="NormalWeb"/>
        <w:divId w:val="179512371"/>
      </w:pPr>
    </w:p>
    <w:p w:rsidR="00EF701A" w:rsidRDefault="00EF701A" w:rsidP="00BA3795"/>
    <w:p w:rsidR="00EF701A" w:rsidRDefault="00BA3795" w:rsidP="00BA3795">
      <w:r>
        <w:rPr>
          <w:noProof/>
        </w:rPr>
        <w:drawing>
          <wp:inline distT="0" distB="0" distL="0" distR="0" wp14:anchorId="5CCD5F8E" wp14:editId="4DD7A58C">
            <wp:extent cx="5486400" cy="3200400"/>
            <wp:effectExtent l="0" t="0" r="0" b="0"/>
            <wp:docPr id="250735876" name="Chart 2507358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F701A" w:rsidRDefault="00EF701A" w:rsidP="00BA3795"/>
    <w:p w:rsidR="00EF701A" w:rsidRDefault="00BA3795" w:rsidP="00DB2B53">
      <w:pPr>
        <w:pStyle w:val="sherbimiemristyle"/>
        <w:jc w:val="left"/>
      </w:pPr>
      <w:bookmarkStart w:id="34" w:name="_Toc210053350"/>
      <w:r>
        <w:lastRenderedPageBreak/>
        <w:t>Administrimi i pyjeve dhe kullotave</w:t>
      </w:r>
      <w:bookmarkEnd w:id="34"/>
    </w:p>
    <w:p w:rsidR="00EF701A" w:rsidRDefault="00EF701A">
      <w:pPr>
        <w:rPr>
          <w:color w:val="0A2F41" w:themeColor="accent1" w:themeShade="80"/>
        </w:rPr>
      </w:pPr>
    </w:p>
    <w:p w:rsidR="00EF701A" w:rsidRDefault="00BA3795" w:rsidP="00BA3795">
      <w:pPr>
        <w:pStyle w:val="paragraphstyle"/>
      </w:pPr>
      <w:r>
        <w:t>Pas zbatimit të Reformës Administrative-Territoriale, bashkive në Shqipëri iu ngarkua përgjegjësia për menaxhimin dhe administrimin e pyjeve dhe kullotave, përjashtuar zonat e mbrojtura. Ky ndryshim synon forcimin e rolit të qeverisjes vendore në menaxhimin e burimeve natyrore, rritjen e përgjegjshmërisë, si dhe afrim më të madh të shërbimeve pranë komuniteteve. Përmes këtij procesi, bashkitë marrin një rol të drejtpërdrejtë në ruajtjen, përdorimin e qëndrueshëm dhe zhvillimin e këtyre pasurive natyrore, duke ndikuar pozitivisht në mirëqenien ekonomike dhe sociale të banorëve.  Bashkia është përgjegjëse për sigurimin e administrimit e shërbimeve pyjore, administrimin e fondit pyjor dhe kullosor, shfrytëzimin e racionalizuar të rezervave pyjore dhe kullosore, konservimin dhe zgjerimin e tyre. Bashkia siguron mikëqyrjen dhe disiplinimin e operacioneve pyjore, dhënien e liçencave për prerje pemësh, ripyllëzime, kontrolle të dëmtuesve dhe sëmundjeve si dhe ofrimin e shërbimeve për operatorët pyjorë.</w:t>
      </w:r>
    </w:p>
    <w:p w:rsidR="00EF701A" w:rsidRDefault="00EF701A" w:rsidP="00BA3795">
      <w:pPr>
        <w:pStyle w:val="paragraphstyle"/>
      </w:pPr>
    </w:p>
    <w:p w:rsidR="00EF701A" w:rsidRDefault="00BA3795" w:rsidP="00BA3795">
      <w:pPr>
        <w:pStyle w:val="paragraphstyle"/>
        <w:sectPr w:rsidR="00EF701A" w:rsidSect="00BA3795">
          <w:headerReference w:type="even" r:id="rId44"/>
          <w:footerReference w:type="even" r:id="rId45"/>
          <w:footerReference w:type="default" r:id="rId46"/>
          <w:headerReference w:type="first" r:id="rId47"/>
          <w:footerReference w:type="first" r:id="rId48"/>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83840" behindDoc="0" locked="0" layoutInCell="1" allowOverlap="1" wp14:anchorId="64F6D954" wp14:editId="6CFC53D0">
                <wp:simplePos x="0" y="0"/>
                <wp:positionH relativeFrom="margin">
                  <wp:align>right</wp:align>
                </wp:positionH>
                <wp:positionV relativeFrom="paragraph">
                  <wp:posOffset>445135</wp:posOffset>
                </wp:positionV>
                <wp:extent cx="5925185" cy="3346450"/>
                <wp:effectExtent l="0" t="0" r="0" b="6350"/>
                <wp:wrapSquare wrapText="bothSides"/>
                <wp:docPr id="1543590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3574F621" wp14:editId="63133224">
                                  <wp:extent cx="5730000" cy="3260000"/>
                                  <wp:effectExtent l="0" t="0" r="0" b="0"/>
                                  <wp:docPr id="2058720188" name="Picture 20587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9"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6D954" id="_x0000_s1033" type="#_x0000_t202" style="position:absolute;left:0;text-align:left;margin-left:415.35pt;margin-top:35.05pt;width:466.55pt;height:263.5pt;z-index:251683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A/hqXt&#10;SwIAANc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3574F621" wp14:editId="63133224">
                            <wp:extent cx="5730000" cy="3260000"/>
                            <wp:effectExtent l="0" t="0" r="0" b="0"/>
                            <wp:docPr id="2058720188" name="Picture 20587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9"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172"/>
        <w:gridCol w:w="4242"/>
        <w:gridCol w:w="756"/>
        <w:gridCol w:w="756"/>
        <w:gridCol w:w="756"/>
        <w:gridCol w:w="756"/>
        <w:gridCol w:w="75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monitorimit të fondit pyjor dhe kullosor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punonjësve për 1000 ha pyje dhe kullota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14.41</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p>
    <w:p w:rsidR="00EF701A" w:rsidRDefault="00EF701A"/>
    <w:p w:rsidR="00EF701A" w:rsidRDefault="00BA3795" w:rsidP="00BA3795">
      <w:pPr>
        <w:pStyle w:val="indicatorNameStyle"/>
        <w:numPr>
          <w:ilvl w:val="0"/>
          <w:numId w:val="3"/>
        </w:numPr>
      </w:pPr>
      <w:r>
        <w:t>Rritja e monitorimit të fondit pyjor dhe kullosor</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Numri i punonjësve për 1000 ha pyje dhe kullota</w:t>
            </w:r>
          </w:p>
        </w:tc>
      </w:tr>
    </w:tbl>
    <w:p w:rsidR="00EF701A" w:rsidRDefault="00BA3795">
      <w:pPr>
        <w:pStyle w:val="NormalWeb"/>
        <w:divId w:val="151260064"/>
      </w:pPr>
      <w:r>
        <w:t xml:space="preserve">Të dhënat për bashkinë Roskovec tregojnë një qëndrueshmëri në numrin e punonjësve për </w:t>
      </w:r>
      <w:r>
        <w:rPr>
          <w:rStyle w:val="Strong"/>
          <w:rFonts w:eastAsiaTheme="majorEastAsia"/>
        </w:rPr>
        <w:t>1000 ha</w:t>
      </w:r>
      <w:r>
        <w:t xml:space="preserve"> pyje dhe kullota gjatë viteve të fundit. Duke filluar nga viti </w:t>
      </w:r>
      <w:r>
        <w:rPr>
          <w:rStyle w:val="Strong"/>
          <w:rFonts w:eastAsiaTheme="majorEastAsia"/>
        </w:rPr>
        <w:t>2021</w:t>
      </w:r>
      <w:r>
        <w:t xml:space="preserve"> deri në </w:t>
      </w:r>
      <w:r>
        <w:rPr>
          <w:rStyle w:val="Strong"/>
          <w:rFonts w:eastAsiaTheme="majorEastAsia"/>
        </w:rPr>
        <w:t>2026</w:t>
      </w:r>
      <w:r>
        <w:t xml:space="preserve">, bashkia ka mbajtur një numër konstant prej </w:t>
      </w:r>
      <w:r>
        <w:rPr>
          <w:rStyle w:val="Strong"/>
          <w:rFonts w:eastAsiaTheme="majorEastAsia"/>
        </w:rPr>
        <w:t>14.41</w:t>
      </w:r>
      <w:r>
        <w:t xml:space="preserve"> punonjës për çdo </w:t>
      </w:r>
      <w:r>
        <w:rPr>
          <w:rStyle w:val="Strong"/>
          <w:rFonts w:eastAsiaTheme="majorEastAsia"/>
        </w:rPr>
        <w:t>1000 ha</w:t>
      </w:r>
      <w:r>
        <w:t xml:space="preserve">. Një stabilitet i tillë mund të tregojë përpjekje të qëndrueshme për menaxhimin e burimeve natyrore nga autoritetet lokale. Ky numër tregon gjithashtu një politikë të mundshme të mbajtjes së punonjësve ekzistues për mbulimin e nevojave te pyjeve dhe kullotave në zonë. Të dhënat nuk pasqyrojnë rritje apo ulje, duke nënkuptuar se bashkia mund të ketë arritur një nivel optimal të numrit te punonjësve për sipërfaqen ekzistuese. Kjo shifrë konstante mund të jetë rezultat i efikasitetit të punonjësve ose vështirësive në rritjen e numrit të tyre. Megjithatë, për të kuptuar plotësisht ndikimin e kësaj shifre, do të duheshin të dhëna të tjera plotësuese, si cilësia e menaxhimit të pyjeve dhe kullotave. Vlera </w:t>
      </w:r>
      <w:r>
        <w:rPr>
          <w:rStyle w:val="Strong"/>
          <w:rFonts w:eastAsiaTheme="majorEastAsia"/>
        </w:rPr>
        <w:t>14.41</w:t>
      </w:r>
      <w:r>
        <w:t xml:space="preserve"> mund të përdoret si një pikë krahasimi për bashkitë e tjera që kanë të njëjtat sfida. Në përgjithësi, konstanta e këtij numri tregon një qasje të mirëorganizuar nga ana e bashkisë Roskovec në çështjet pyjore dhe kullosore.</w:t>
      </w:r>
    </w:p>
    <w:p w:rsidR="00EF701A" w:rsidRDefault="00EF701A" w:rsidP="00BA3795"/>
    <w:p w:rsidR="00EF701A" w:rsidRDefault="00BA3795">
      <w:r>
        <w:rPr>
          <w:noProof/>
        </w:rPr>
        <w:lastRenderedPageBreak/>
        <w:drawing>
          <wp:inline distT="0" distB="0" distL="0" distR="0" wp14:anchorId="27284CC6" wp14:editId="5016054C">
            <wp:extent cx="5486400" cy="3200400"/>
            <wp:effectExtent l="0" t="0" r="0" b="0"/>
            <wp:docPr id="621340989" name="Chart 621340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F701A" w:rsidRDefault="00EF701A" w:rsidP="00BA3795"/>
    <w:p w:rsidR="00EF701A" w:rsidRDefault="00EF701A" w:rsidP="00BA3795"/>
    <w:p w:rsidR="00EF701A" w:rsidRDefault="00EF701A" w:rsidP="00BA3795"/>
    <w:p w:rsidR="00EF701A" w:rsidRDefault="00EF701A" w:rsidP="00BA3795">
      <w:pPr>
        <w:rPr>
          <w:rFonts w:cs="Times New Roman"/>
        </w:rPr>
      </w:pP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614"/>
        <w:gridCol w:w="1056"/>
        <w:gridCol w:w="1056"/>
        <w:gridCol w:w="1056"/>
        <w:gridCol w:w="1056"/>
        <w:gridCol w:w="1056"/>
        <w:gridCol w:w="10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punonjësve për menaxhimin pyjeve dhe kullotave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per menaxhimin e fondit pyjor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1344000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1621000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3469000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1717000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totale e fondit pyjor dhe kullosor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pemëve të reja të mbjellura në fondin pyjor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687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895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per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e fondit pyjor dhe kullosor e mbuluar me plane mbarështimi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208.21</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p>
    <w:p w:rsidR="00EF701A" w:rsidRDefault="00EF701A"/>
    <w:p w:rsidR="00EF701A" w:rsidRDefault="00BA3795" w:rsidP="00DB2B53">
      <w:pPr>
        <w:pStyle w:val="dataNameStyle"/>
      </w:pPr>
      <w:r>
        <w:t>S</w:t>
      </w:r>
      <w:r w:rsidR="00533960">
        <w:t>hpenzime per menaxhimin e fondit pyjor në lekë</w:t>
      </w:r>
    </w:p>
    <w:p w:rsidR="00EF701A" w:rsidRDefault="00BA3795">
      <w:pPr>
        <w:pStyle w:val="NormalWeb"/>
        <w:divId w:val="81534474"/>
      </w:pPr>
      <w:r>
        <w:t xml:space="preserve">Të dhënat për shpenzimet e menaxhimit të fondit pyjor në bashkinë Roskovec tregojnë një trend në rritje gjatë disa viteve të fundit. Në vitin </w:t>
      </w:r>
      <w:r>
        <w:rPr>
          <w:rStyle w:val="Strong"/>
          <w:rFonts w:eastAsiaTheme="majorEastAsia"/>
        </w:rPr>
        <w:t>2021</w:t>
      </w:r>
      <w:r>
        <w:t xml:space="preserve">, shpenzimet ishin </w:t>
      </w:r>
      <w:r>
        <w:rPr>
          <w:rStyle w:val="Strong"/>
          <w:rFonts w:eastAsiaTheme="majorEastAsia"/>
        </w:rPr>
        <w:t>1,344,000 lekë</w:t>
      </w:r>
      <w:r>
        <w:t xml:space="preserve">. Kjo vlerë u rrit në </w:t>
      </w:r>
      <w:r>
        <w:rPr>
          <w:rStyle w:val="Strong"/>
          <w:rFonts w:eastAsiaTheme="majorEastAsia"/>
        </w:rPr>
        <w:t>2022</w:t>
      </w:r>
      <w:r>
        <w:t xml:space="preserve">, duke arritur </w:t>
      </w:r>
      <w:r>
        <w:rPr>
          <w:rStyle w:val="Strong"/>
          <w:rFonts w:eastAsiaTheme="majorEastAsia"/>
        </w:rPr>
        <w:t>1,621,000 lekë</w:t>
      </w:r>
      <w:r>
        <w:t xml:space="preserve">. Një rritje e ndjeshme u vu re në </w:t>
      </w:r>
      <w:r>
        <w:rPr>
          <w:rStyle w:val="Strong"/>
          <w:rFonts w:eastAsiaTheme="majorEastAsia"/>
        </w:rPr>
        <w:t>2023</w:t>
      </w:r>
      <w:r>
        <w:t xml:space="preserve">, ku shpenzimet u dyfishuan në </w:t>
      </w:r>
      <w:r>
        <w:rPr>
          <w:rStyle w:val="Strong"/>
          <w:rFonts w:eastAsiaTheme="majorEastAsia"/>
        </w:rPr>
        <w:t>3,469,000 lekë</w:t>
      </w:r>
      <w:r>
        <w:t xml:space="preserve">. Në vitin </w:t>
      </w:r>
      <w:r>
        <w:rPr>
          <w:rStyle w:val="Strong"/>
          <w:rFonts w:eastAsiaTheme="majorEastAsia"/>
        </w:rPr>
        <w:t>2024</w:t>
      </w:r>
      <w:r>
        <w:t xml:space="preserve">, shpenzimet parashikohen të arrijnë </w:t>
      </w:r>
      <w:r>
        <w:rPr>
          <w:rStyle w:val="Strong"/>
          <w:rFonts w:eastAsiaTheme="majorEastAsia"/>
        </w:rPr>
        <w:t>1,717,000 lekë</w:t>
      </w:r>
      <w:r>
        <w:t xml:space="preserve">, një vlerë që mbetet e pandryshuar për vitet </w:t>
      </w:r>
      <w:r>
        <w:rPr>
          <w:rStyle w:val="Strong"/>
          <w:rFonts w:eastAsiaTheme="majorEastAsia"/>
        </w:rPr>
        <w:t>2025</w:t>
      </w:r>
      <w:r>
        <w:t xml:space="preserve"> dhe </w:t>
      </w:r>
      <w:r>
        <w:rPr>
          <w:rStyle w:val="Strong"/>
          <w:rFonts w:eastAsiaTheme="majorEastAsia"/>
        </w:rPr>
        <w:t>2026</w:t>
      </w:r>
      <w:r>
        <w:t xml:space="preserve">. Rritja drastike në </w:t>
      </w:r>
      <w:r>
        <w:rPr>
          <w:rStyle w:val="Strong"/>
          <w:rFonts w:eastAsiaTheme="majorEastAsia"/>
        </w:rPr>
        <w:t>2023</w:t>
      </w:r>
      <w:r>
        <w:t xml:space="preserve"> mund të reflektojë një angazhim më të madh për ruajtjen dhe menaxhimin e resurseve pyjore. Pas </w:t>
      </w:r>
      <w:r>
        <w:rPr>
          <w:rStyle w:val="Strong"/>
          <w:rFonts w:eastAsiaTheme="majorEastAsia"/>
        </w:rPr>
        <w:t>2023</w:t>
      </w:r>
      <w:r>
        <w:t xml:space="preserve">, duket se bashkia ka planifikuar një stabilizim të kostove nga </w:t>
      </w:r>
      <w:r>
        <w:rPr>
          <w:rStyle w:val="Strong"/>
          <w:rFonts w:eastAsiaTheme="majorEastAsia"/>
        </w:rPr>
        <w:t>2024</w:t>
      </w:r>
      <w:r>
        <w:t xml:space="preserve"> e në vazhdim. Këto shifra përfaqësojnë një përpjekje të vazhdueshme për të përmirësuar menaxhimin e fondit pyjor. Ndryshimet në shpenzime mund të lidhen me politika të reja ose projekte specifike për mirëmbajtjen e pyjeve. Strategjia e menaxhimit të fondeve në Roskovec reflektohet qartë përmes këtyre shpenzimeve të detajuara.</w:t>
      </w:r>
    </w:p>
    <w:p w:rsidR="00EF701A" w:rsidRDefault="00EF701A" w:rsidP="00BA3795"/>
    <w:p w:rsidR="00EF701A" w:rsidRDefault="00BA3795" w:rsidP="00BA3795">
      <w:r>
        <w:rPr>
          <w:noProof/>
        </w:rPr>
        <w:drawing>
          <wp:inline distT="0" distB="0" distL="0" distR="0" wp14:anchorId="77D60561" wp14:editId="68995318">
            <wp:extent cx="5486400" cy="3200400"/>
            <wp:effectExtent l="0" t="0" r="0" b="0"/>
            <wp:docPr id="1282289472" name="Chart 1282289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EF701A" w:rsidRDefault="00EF701A" w:rsidP="00BA3795"/>
    <w:p w:rsidR="00EF701A" w:rsidRDefault="00BA3795" w:rsidP="00DB2B53">
      <w:pPr>
        <w:pStyle w:val="sherbimiemristyle"/>
        <w:jc w:val="left"/>
      </w:pPr>
      <w:bookmarkStart w:id="35" w:name="_Toc210053351"/>
      <w:r>
        <w:lastRenderedPageBreak/>
        <w:t>Mbrojtja nga zjarri dhe mbrojtja civile</w:t>
      </w:r>
      <w:bookmarkEnd w:id="35"/>
    </w:p>
    <w:p w:rsidR="00EF701A" w:rsidRDefault="00EF701A">
      <w:pPr>
        <w:rPr>
          <w:color w:val="0A2F41" w:themeColor="accent1" w:themeShade="80"/>
        </w:rPr>
      </w:pPr>
    </w:p>
    <w:p w:rsidR="00EF701A" w:rsidRDefault="00BA3795" w:rsidP="00BA3795">
      <w:pPr>
        <w:pStyle w:val="paragraphstyle"/>
      </w:pPr>
      <w:r>
        <w:t>Funksioni i menaxhimit të shërbimit të Mbrojtjes nga Zjarri dhe Shpëtimi iu transferua Njësive të Vetëqeverisjes Vendore në vitin 2016. Në kuadër të Reformës Administrative-Territoriale, deri në fund të vitit 2018 u ngritën stacionet zjarrfikëse në çdo bashki, secili me një strukturë minimale prej 14 punonjësish. Analiza e këtij shërbimi mbështetet kryesisht në dy tregues kryesorë: numrin e zjarrfikësve për çdo 1.500 banorë dhe numrin e automjeteve zjarrfikëse për çdo 10.000 banorë. Në nivel kombëtar, raporti aktual është afërsisht një zjarrfikës për 1.500 banorë. Një tendencë e ngjashme vërehet edhe në aspektin e mjeteve zjarrfikëse, ku disponueshmëria e tyre bie në raport me rritjen e madhësisë së bashkive. Bashkia është përgjegjëse për të siguruar funksionimin e njësive zjarrfikëse dhe shërbimeve të tjera të parandalimit dhe mbrojtjes kundër zjarrit, shërbimet e mbrojtjes civile, si shpëtimet malore, vrojtimi i plazheve, evakuimi i zonave të përmbytura etj, si dhe rritjen e kapaciteteve të punonjësve dhe ndërgjegjësimit në komunitet përmes programeve trajnuese të parandalimit dhe mbrojtjes kundër zjarrit.</w:t>
      </w:r>
    </w:p>
    <w:p w:rsidR="00EF701A" w:rsidRDefault="00EF701A" w:rsidP="00BA3795">
      <w:pPr>
        <w:pStyle w:val="paragraphstyle"/>
      </w:pPr>
    </w:p>
    <w:p w:rsidR="00EF701A" w:rsidRDefault="00BA3795" w:rsidP="00BA3795">
      <w:pPr>
        <w:pStyle w:val="paragraphstyle"/>
        <w:sectPr w:rsidR="00EF701A" w:rsidSect="00BA3795">
          <w:headerReference w:type="even" r:id="rId52"/>
          <w:footerReference w:type="even" r:id="rId53"/>
          <w:footerReference w:type="default" r:id="rId54"/>
          <w:headerReference w:type="first" r:id="rId55"/>
          <w:footerReference w:type="first" r:id="rId56"/>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85888" behindDoc="0" locked="0" layoutInCell="1" allowOverlap="1" wp14:anchorId="5D15BF78" wp14:editId="265F532F">
                <wp:simplePos x="0" y="0"/>
                <wp:positionH relativeFrom="margin">
                  <wp:align>right</wp:align>
                </wp:positionH>
                <wp:positionV relativeFrom="paragraph">
                  <wp:posOffset>445135</wp:posOffset>
                </wp:positionV>
                <wp:extent cx="5925185" cy="3346450"/>
                <wp:effectExtent l="0" t="0" r="0" b="6350"/>
                <wp:wrapSquare wrapText="bothSides"/>
                <wp:docPr id="1015250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72778D54" wp14:editId="6F75D230">
                                  <wp:extent cx="5730000" cy="3260000"/>
                                  <wp:effectExtent l="0" t="0" r="0" b="0"/>
                                  <wp:docPr id="1691092513" name="Picture 169109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7"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5BF78" id="_x0000_s1034" type="#_x0000_t202" style="position:absolute;left:0;text-align:left;margin-left:415.35pt;margin-top:35.05pt;width:466.55pt;height:263.5pt;z-index:251685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" filled="f" stroked="f">
                <v:textbox>
                  <w:txbxContent>
                    <w:p w:rsidR="00A8516B" w:rsidRDefault="00A8516B" w:rsidP="00BA3795">
                      <w:r>
                        <w:rPr>
                          <w:noProof/>
                        </w:rPr>
                        <w:drawing>
                          <wp:inline distT="0" distB="0" distL="0" distR="0" wp14:anchorId="72778D54" wp14:editId="6F75D230">
                            <wp:extent cx="5730000" cy="3260000"/>
                            <wp:effectExtent l="0" t="0" r="0" b="0"/>
                            <wp:docPr id="1691092513" name="Picture 169109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7"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429"/>
        <w:gridCol w:w="3465"/>
        <w:gridCol w:w="1236"/>
        <w:gridCol w:w="1236"/>
        <w:gridCol w:w="1236"/>
        <w:gridCol w:w="1116"/>
        <w:gridCol w:w="1116"/>
        <w:gridCol w:w="111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sipërfaqes së mbuluar me shërbim për shuarjen e zjarreve dhe shpëtimin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sipërfaqes së mbuluar me shërbimin për shuarjen e zjarrit dhe shpëtimit ndaj sipërfaqes totale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Efiçienca buxhetore në ofrimin e shërbimit MZSH</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Total shpenzime për MZSH kundrejt totalit të rasteve të menaxhuara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251088.87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139771.74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106661.54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99042.86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99042.86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99042.86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banorëve për zjarrfikës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i numrit të banorëve ndaj numrit të zjarrfikësve (banorë për 1 zjarrfikës)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2428.57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3090.91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2428.57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2428.57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2428.57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2428.57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kapaciteteve të punonjësve zjarrfikës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Zjarrfikës të trajnuar/zjarrfikës total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36.36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902"/>
        <w:gridCol w:w="1168"/>
        <w:gridCol w:w="1176"/>
        <w:gridCol w:w="1176"/>
        <w:gridCol w:w="1176"/>
        <w:gridCol w:w="1176"/>
        <w:gridCol w:w="117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stacioneve MSZH</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makinave zjarrfikëse në punë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Punonjës të mbrojtjes nga zjarri dhe shpëtimi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Zjarrëfikës në dispozicion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 nga tarifat për shërbimet shtesë nga zjarrfikësja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certifikatave të lëshuara për mzsh për subjektet private dhe shtetërore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Fikese zjarri te kolauduara dhe te vendosura ne institucioine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automjeteve në funksion të mbrojtjes nga zjarri dhe shpëtimi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strukturave të emergjencave civile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pikave të rrezikut nga përmbytjet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pikave të rrezikut nga zjarret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popullsisë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e mbuluar me shërbimin e fikjes së zjarrit dhe shpëtimit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gjithësej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123.5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Total shpenzime për mzsh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11298999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12859000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13866000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13866000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13866000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13866000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thirrjeve nga popullata drejt shërbimit zjarrfikës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kontrolleve vjetore për certifikimin për mzsh I objekteve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e zonave të banuara që përmbyten në vit në ha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lastRenderedPageBreak/>
              <w:t>Numri total i akteve teknike për shfrytëzim të lëshuara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Koha e daljes nga stacioni ditën (në sekonda)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Koha e daljes nga stacioni natën (në sekonda)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Inspektime tek të tretët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Koha e daljes nga stacioni (në sekonda) (mesatarja ditën dhe natën)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Mësime treguese për përballimin e rasteve të zjarrit në shkolla, institucione publike, etj</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Raste të menaxhuara për shuarjen e zjarrit dhe shpëtimit nga MZSH</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e mbuluar me shërbimin e fikjes së zjarrit dhe shpëtimit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Zjarrfikës të trajnuar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per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p>
    <w:p w:rsidR="00EF701A" w:rsidRDefault="00EF701A"/>
    <w:p w:rsidR="00EF701A" w:rsidRDefault="00BA3795" w:rsidP="00BA3795">
      <w:pPr>
        <w:pStyle w:val="dataNameStyle"/>
      </w:pPr>
      <w:r>
        <w:t>Të ardhura nga tarifat për shërbimet shtesë nga zjarrfikësja (në lekë)</w:t>
      </w:r>
    </w:p>
    <w:p w:rsidR="00EF701A" w:rsidRDefault="00BA3795">
      <w:pPr>
        <w:pStyle w:val="NormalWeb"/>
        <w:divId w:val="1551114957"/>
      </w:pPr>
      <w:r>
        <w:t xml:space="preserve">Të dhënat e bashkisë Roskovec tregojnë të ardhurat nga tarifat për shërbimet shtesë nga zjarrfikësja për disa vite. </w:t>
      </w:r>
      <w:r>
        <w:rPr>
          <w:rStyle w:val="Strong"/>
          <w:rFonts w:eastAsiaTheme="majorEastAsia"/>
        </w:rPr>
        <w:t>Në vitin 2023</w:t>
      </w:r>
      <w:r>
        <w:t xml:space="preserve">, të ardhurat ishin </w:t>
      </w:r>
      <w:r>
        <w:rPr>
          <w:rStyle w:val="Strong"/>
          <w:rFonts w:eastAsiaTheme="majorEastAsia"/>
        </w:rPr>
        <w:t>120,000 lekë</w:t>
      </w:r>
      <w:r>
        <w:t xml:space="preserve">, që është vlera më e lartë në të gjitha vitet e analizuara. </w:t>
      </w:r>
      <w:r>
        <w:rPr>
          <w:rStyle w:val="Strong"/>
          <w:rFonts w:eastAsiaTheme="majorEastAsia"/>
        </w:rPr>
        <w:t>Për vitet 2024, 2025 dhe 2026</w:t>
      </w:r>
      <w:r>
        <w:t xml:space="preserve">, të ardhurat priten të jenë të qëndrueshme në </w:t>
      </w:r>
      <w:r>
        <w:rPr>
          <w:rStyle w:val="Strong"/>
          <w:rFonts w:eastAsiaTheme="majorEastAsia"/>
        </w:rPr>
        <w:t>100,000 lekë</w:t>
      </w:r>
      <w:r>
        <w:t xml:space="preserve"> çdo vit. Kjo tregon një ulje të të ardhurave prej </w:t>
      </w:r>
      <w:r>
        <w:rPr>
          <w:rStyle w:val="Strong"/>
          <w:rFonts w:eastAsiaTheme="majorEastAsia"/>
        </w:rPr>
        <w:t>20,000 lekë</w:t>
      </w:r>
      <w:r>
        <w:t xml:space="preserve"> në krahasim me vitin 2023. Për vitet 2024-2026, nuk ka ndryshime të parashikuara në të ardhura, çka sugjeron një stabilitet në këtë aspekt. Kjo mund të nënkuptojë se kërkesa për shërbime shtesë nga zjarrfikësja është stabilizuar ose se tarifat mbeten të pandryshuara. Vlera e vitit 2023 mund të ketë qenë rezultat i ngjarjeve ose masave të veçanta që kanë ndikuar në rritjen e kërkesës për këto shërbime. Të dhënat sugjerojnë se bashkia nuk parashikon rritje të ardhurash nga ky burim në të ardhmen e afërt. Këto informacione janë kritike për planifikimin financiar dhe operacional të bashkisë. Vëmendja ndaj arsyeve të uljes së të ardhurave pas vitit 2023 mund të jetë e dobishme për planifikim të mëtejshëm.</w:t>
      </w:r>
    </w:p>
    <w:p w:rsidR="00EF701A" w:rsidRDefault="00EF701A" w:rsidP="00BA3795"/>
    <w:p w:rsidR="00EF701A" w:rsidRDefault="00BA3795" w:rsidP="00BA3795">
      <w:r>
        <w:rPr>
          <w:noProof/>
        </w:rPr>
        <w:drawing>
          <wp:inline distT="0" distB="0" distL="0" distR="0" wp14:anchorId="3206FDD4" wp14:editId="514479FE">
            <wp:extent cx="5486400" cy="3200400"/>
            <wp:effectExtent l="0" t="0" r="0" b="0"/>
            <wp:docPr id="1038187167" name="Chart 1038187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EF701A" w:rsidRDefault="00EF701A"/>
    <w:p w:rsidR="00EF701A" w:rsidRDefault="00BA3795" w:rsidP="00DB2B53">
      <w:pPr>
        <w:pStyle w:val="dataNameStyle"/>
      </w:pPr>
      <w:r>
        <w:lastRenderedPageBreak/>
        <w:t>F</w:t>
      </w:r>
      <w:r w:rsidR="00533960">
        <w:t>ikese zjarri te kolauduara dhe te vendosura ne institucioine</w:t>
      </w:r>
    </w:p>
    <w:p w:rsidR="00EF701A" w:rsidRDefault="00BA3795">
      <w:pPr>
        <w:pStyle w:val="NormalWeb"/>
        <w:divId w:val="125707873"/>
      </w:pPr>
      <w:r>
        <w:t xml:space="preserve">Në Bashkinë Roskovec, të dhënat për fiksuesit e zjarrit të kolauduar dhe vendosur në institucione tregojnë një qëndrueshmëri të madhe përgjatë viteve. Në vitin </w:t>
      </w:r>
      <w:r>
        <w:rPr>
          <w:rStyle w:val="Strong"/>
          <w:rFonts w:eastAsiaTheme="majorEastAsia"/>
        </w:rPr>
        <w:t>2021</w:t>
      </w:r>
      <w:r>
        <w:t xml:space="preserve">, ishin </w:t>
      </w:r>
      <w:r>
        <w:rPr>
          <w:rStyle w:val="Strong"/>
          <w:rFonts w:eastAsiaTheme="majorEastAsia"/>
        </w:rPr>
        <w:t>20</w:t>
      </w:r>
      <w:r>
        <w:t xml:space="preserve"> fiksues zjarri të kolauduar e të vendosur. Kjo tendencë e stabilitetit vazhdoi edhe në vitin </w:t>
      </w:r>
      <w:r>
        <w:rPr>
          <w:rStyle w:val="Strong"/>
          <w:rFonts w:eastAsiaTheme="majorEastAsia"/>
        </w:rPr>
        <w:t>2022</w:t>
      </w:r>
      <w:r>
        <w:t xml:space="preserve">, me sërish </w:t>
      </w:r>
      <w:r>
        <w:rPr>
          <w:rStyle w:val="Strong"/>
          <w:rFonts w:eastAsiaTheme="majorEastAsia"/>
        </w:rPr>
        <w:t>20</w:t>
      </w:r>
      <w:r>
        <w:t xml:space="preserve"> njësi. Për vitin </w:t>
      </w:r>
      <w:r>
        <w:rPr>
          <w:rStyle w:val="Strong"/>
          <w:rFonts w:eastAsiaTheme="majorEastAsia"/>
        </w:rPr>
        <w:t>2023</w:t>
      </w:r>
      <w:r>
        <w:t xml:space="preserve">, numri mbeti konstant, në </w:t>
      </w:r>
      <w:r>
        <w:rPr>
          <w:rStyle w:val="Strong"/>
          <w:rFonts w:eastAsiaTheme="majorEastAsia"/>
        </w:rPr>
        <w:t>20</w:t>
      </w:r>
      <w:r>
        <w:t xml:space="preserve">. Analiza e të dhënave tregon se ky numër do të ngelet i pandryshuar gjatë viteve të ardhshme. Në pritje për vitin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numri i fiksuesve zjarri të parashikuar është përsëri </w:t>
      </w:r>
      <w:r>
        <w:rPr>
          <w:rStyle w:val="Strong"/>
          <w:rFonts w:eastAsiaTheme="majorEastAsia"/>
        </w:rPr>
        <w:t>20</w:t>
      </w:r>
      <w:r>
        <w:t>. Ky trend evidenton një përkushtim për mirëmbajtje të vazhdueshme në përputhje me standardet e sigurisë. Konsistenca në këto të dhëna sugjeron një nivel të qëndrueshëm sigurie. Ky planifikim afatgjatë mund të reduktojë rrezikun nga zjarri në institucione. Për më tepër, kjo tregon një investim të qëndrueshëm në shërbimet komunale të bashkisë.</w:t>
      </w:r>
    </w:p>
    <w:p w:rsidR="00EF701A" w:rsidRDefault="00EF701A" w:rsidP="00BA3795"/>
    <w:p w:rsidR="00EF701A" w:rsidRDefault="00BA3795" w:rsidP="00BA3795">
      <w:r>
        <w:rPr>
          <w:noProof/>
        </w:rPr>
        <w:drawing>
          <wp:inline distT="0" distB="0" distL="0" distR="0" wp14:anchorId="4B08E628" wp14:editId="2F72610D">
            <wp:extent cx="5486400" cy="3200400"/>
            <wp:effectExtent l="0" t="0" r="0" b="0"/>
            <wp:docPr id="1435557627" name="Chart 14355576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EF701A" w:rsidRDefault="00EF701A" w:rsidP="00BA3795"/>
    <w:p w:rsidR="00EF701A" w:rsidRDefault="00EF701A"/>
    <w:p w:rsidR="00DB2B53" w:rsidRDefault="00DB2B53"/>
    <w:p w:rsidR="00DB2B53" w:rsidRDefault="00DB2B53"/>
    <w:p w:rsidR="00EF701A" w:rsidRDefault="00BA3795" w:rsidP="00DB2B53">
      <w:pPr>
        <w:pStyle w:val="dataNameStyle"/>
      </w:pPr>
      <w:r>
        <w:lastRenderedPageBreak/>
        <w:t>Numri total i popullsisë</w:t>
      </w:r>
    </w:p>
    <w:p w:rsidR="00EF701A" w:rsidRDefault="00BA3795">
      <w:pPr>
        <w:pStyle w:val="NormalWeb"/>
        <w:divId w:val="1182669605"/>
      </w:pPr>
      <w:r>
        <w:t xml:space="preserve">Të dhënat e popullsisë për Bashkinë e Roskovecit tregojnë një qëndrueshmëri të lartë në numrin total të popullsisë gjatë viteve të përmendura. Nga </w:t>
      </w:r>
      <w:r>
        <w:rPr>
          <w:rStyle w:val="Strong"/>
          <w:rFonts w:eastAsiaTheme="majorEastAsia"/>
        </w:rPr>
        <w:t>2021</w:t>
      </w:r>
      <w:r>
        <w:t xml:space="preserve"> deri në </w:t>
      </w:r>
      <w:r>
        <w:rPr>
          <w:rStyle w:val="Strong"/>
          <w:rFonts w:eastAsiaTheme="majorEastAsia"/>
        </w:rPr>
        <w:t>2026</w:t>
      </w:r>
      <w:r>
        <w:t xml:space="preserve">, numri i popullsisë ka mbetur konstant në </w:t>
      </w:r>
      <w:r>
        <w:rPr>
          <w:rStyle w:val="Strong"/>
          <w:rFonts w:eastAsiaTheme="majorEastAsia"/>
        </w:rPr>
        <w:t>34,000</w:t>
      </w:r>
      <w:r>
        <w:t xml:space="preserve"> banorë. Kjo tregon se nuk ka pasur as rritje dhe as ulje në numrin e popullsisë gjatë kësaj periudhe. Sjellja e qëndrueshme e popullsisë sugjeron se faktorë si migracioni, normat e lindjeve dhe vdekshmërisë, si dhe politikat lokale, nuk kanë ndikuar ndjeshëm në ndryshimin e numrit të banorëve. Edhe pse disa faktorë demografikë mund të kenë ndryshuar, ato kanë rezultuar në një bilanc që e mban popullsinë në të njëjtin nivel. Kjo stabilitet mund të jetë reflektim i kujdesit për mirëqenien ekonomike dhe sociale në këtë bashki. Niveli konstant i popullsisë në të gjitha vitet e përmendura evidente në të dhëna, si </w:t>
      </w:r>
      <w:r>
        <w:rPr>
          <w:rStyle w:val="Strong"/>
          <w:rFonts w:eastAsiaTheme="majorEastAsia"/>
        </w:rPr>
        <w:t>2022</w:t>
      </w:r>
      <w:r>
        <w:t xml:space="preserve">, </w:t>
      </w:r>
      <w:r>
        <w:rPr>
          <w:rStyle w:val="Strong"/>
          <w:rFonts w:eastAsiaTheme="majorEastAsia"/>
        </w:rPr>
        <w:t>2023</w:t>
      </w:r>
      <w:r>
        <w:t xml:space="preserve">, dhe </w:t>
      </w:r>
      <w:r>
        <w:rPr>
          <w:rStyle w:val="Strong"/>
          <w:rFonts w:eastAsiaTheme="majorEastAsia"/>
        </w:rPr>
        <w:t>2024</w:t>
      </w:r>
      <w:r>
        <w:t>, përforcon idenë e një mjedisi me ndryshime minimale demografike. Kjo situatë mund të jetë e dobishme për planifikimin urban dhe zhvillimin e shërbimeve publike, pasi të dhënat e qarta dhe të qëndrueshme lehtësojnë strategjitë afatgjata. Megjithatë, është e rëndësishme të monitorohen këto tregues në të ardhmen për të identifikuar çdo ndryshim të mundshëm.</w:t>
      </w:r>
    </w:p>
    <w:p w:rsidR="00EF701A" w:rsidRDefault="00EF701A" w:rsidP="00BA3795"/>
    <w:p w:rsidR="00EF701A" w:rsidRDefault="00BA3795" w:rsidP="00BA3795">
      <w:r>
        <w:rPr>
          <w:noProof/>
        </w:rPr>
        <w:drawing>
          <wp:inline distT="0" distB="0" distL="0" distR="0" wp14:anchorId="5202055D" wp14:editId="3294B23A">
            <wp:extent cx="5486400" cy="3200400"/>
            <wp:effectExtent l="0" t="0" r="0" b="0"/>
            <wp:docPr id="1582255706" name="Chart 1582255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EF701A" w:rsidRDefault="00EF701A" w:rsidP="00BA3795"/>
    <w:p w:rsidR="00EF701A" w:rsidRDefault="00EF701A"/>
    <w:p w:rsidR="00EF701A" w:rsidRDefault="00BA3795" w:rsidP="00DB2B53">
      <w:pPr>
        <w:pStyle w:val="dataNameStyle"/>
      </w:pPr>
      <w:r>
        <w:t>Total shpenzime për mzsh (në lekë)</w:t>
      </w:r>
    </w:p>
    <w:p w:rsidR="00EF701A" w:rsidRDefault="00BA3795">
      <w:pPr>
        <w:pStyle w:val="NormalWeb"/>
        <w:divId w:val="2005088952"/>
      </w:pPr>
      <w:r>
        <w:t xml:space="preserve">Bashkia Roskovec ka shënuar një trend në rritje në totalin e shpenzimeve për MZSH ndër vite. Në </w:t>
      </w:r>
      <w:r>
        <w:rPr>
          <w:rStyle w:val="Strong"/>
          <w:rFonts w:eastAsiaTheme="majorEastAsia"/>
        </w:rPr>
        <w:t>2021</w:t>
      </w:r>
      <w:r>
        <w:t xml:space="preserve">, shpenzimet totale ishin </w:t>
      </w:r>
      <w:r>
        <w:rPr>
          <w:rStyle w:val="Strong"/>
          <w:rFonts w:eastAsiaTheme="majorEastAsia"/>
        </w:rPr>
        <w:t>11,298,999</w:t>
      </w:r>
      <w:r>
        <w:t xml:space="preserve"> lekë. Kjo shumë është rritur në </w:t>
      </w:r>
      <w:r>
        <w:rPr>
          <w:rStyle w:val="Strong"/>
          <w:rFonts w:eastAsiaTheme="majorEastAsia"/>
        </w:rPr>
        <w:t>2022</w:t>
      </w:r>
      <w:r>
        <w:t xml:space="preserve"> me një total prej </w:t>
      </w:r>
      <w:r>
        <w:rPr>
          <w:rStyle w:val="Strong"/>
          <w:rFonts w:eastAsiaTheme="majorEastAsia"/>
        </w:rPr>
        <w:lastRenderedPageBreak/>
        <w:t>12,859,000</w:t>
      </w:r>
      <w:r>
        <w:t xml:space="preserve"> lekësh. Nga viti </w:t>
      </w:r>
      <w:r>
        <w:rPr>
          <w:rStyle w:val="Strong"/>
          <w:rFonts w:eastAsiaTheme="majorEastAsia"/>
        </w:rPr>
        <w:t>2023</w:t>
      </w:r>
      <w:r>
        <w:t xml:space="preserve"> deri në </w:t>
      </w:r>
      <w:r>
        <w:rPr>
          <w:rStyle w:val="Strong"/>
          <w:rFonts w:eastAsiaTheme="majorEastAsia"/>
        </w:rPr>
        <w:t>2026</w:t>
      </w:r>
      <w:r>
        <w:t xml:space="preserve">, bashkia ka parashikuar shpenzime të barabarta, me një total prej </w:t>
      </w:r>
      <w:r>
        <w:rPr>
          <w:rStyle w:val="Strong"/>
          <w:rFonts w:eastAsiaTheme="majorEastAsia"/>
        </w:rPr>
        <w:t>13,866,000</w:t>
      </w:r>
      <w:r>
        <w:t xml:space="preserve"> lekësh për secilin vit. Kjo tregon një rritje të vazhdueshme nga </w:t>
      </w:r>
      <w:r>
        <w:rPr>
          <w:rStyle w:val="Strong"/>
          <w:rFonts w:eastAsiaTheme="majorEastAsia"/>
        </w:rPr>
        <w:t>2021</w:t>
      </w:r>
      <w:r>
        <w:t xml:space="preserve"> deri në </w:t>
      </w:r>
      <w:r>
        <w:rPr>
          <w:rStyle w:val="Strong"/>
          <w:rFonts w:eastAsiaTheme="majorEastAsia"/>
        </w:rPr>
        <w:t>2023</w:t>
      </w:r>
      <w:r>
        <w:t xml:space="preserve">, pasuar nga një stabilizim në vitet e mëvonshme. Kostoja e lartë e shpenzimeve nga </w:t>
      </w:r>
      <w:r>
        <w:rPr>
          <w:rStyle w:val="Strong"/>
          <w:rFonts w:eastAsiaTheme="majorEastAsia"/>
        </w:rPr>
        <w:t>2023</w:t>
      </w:r>
      <w:r>
        <w:t xml:space="preserve"> në </w:t>
      </w:r>
      <w:r>
        <w:rPr>
          <w:rStyle w:val="Strong"/>
          <w:rFonts w:eastAsiaTheme="majorEastAsia"/>
        </w:rPr>
        <w:t>2026</w:t>
      </w:r>
      <w:r>
        <w:t xml:space="preserve"> tregon një angazhim konstant financiar për MZSH. Përballë këtyre shifrave, ka një diferencë të dukshme prej </w:t>
      </w:r>
      <w:r>
        <w:rPr>
          <w:rStyle w:val="Strong"/>
          <w:rFonts w:eastAsiaTheme="majorEastAsia"/>
        </w:rPr>
        <w:t>1,567,001</w:t>
      </w:r>
      <w:r>
        <w:t xml:space="preserve"> lekësh midis vitit </w:t>
      </w:r>
      <w:r>
        <w:rPr>
          <w:rStyle w:val="Strong"/>
          <w:rFonts w:eastAsiaTheme="majorEastAsia"/>
        </w:rPr>
        <w:t>2021</w:t>
      </w:r>
      <w:r>
        <w:t xml:space="preserve"> dhe </w:t>
      </w:r>
      <w:r>
        <w:rPr>
          <w:rStyle w:val="Strong"/>
          <w:rFonts w:eastAsiaTheme="majorEastAsia"/>
        </w:rPr>
        <w:t>2023</w:t>
      </w:r>
      <w:r>
        <w:t xml:space="preserve">. Viti </w:t>
      </w:r>
      <w:r>
        <w:rPr>
          <w:rStyle w:val="Strong"/>
          <w:rFonts w:eastAsiaTheme="majorEastAsia"/>
        </w:rPr>
        <w:t>2022</w:t>
      </w:r>
      <w:r>
        <w:t xml:space="preserve"> shënon rritjen më të madhe vjetore me një shtim prej </w:t>
      </w:r>
      <w:r>
        <w:rPr>
          <w:rStyle w:val="Strong"/>
          <w:rFonts w:eastAsiaTheme="majorEastAsia"/>
        </w:rPr>
        <w:t>1,560,001</w:t>
      </w:r>
      <w:r>
        <w:t xml:space="preserve"> lekësh krahasuar me vitin e mëparshëm. Parashikimi i shpenzimeve për vitet e ardhshme tregon përputhje dhe stabilitet financiar. Këto të dhëna janë thelbësore për analizën e menaxhimit financiar dhe vendimmarrjen strategjike në bashki.</w:t>
      </w:r>
    </w:p>
    <w:p w:rsidR="00EF701A" w:rsidRDefault="00EF701A" w:rsidP="00BA3795"/>
    <w:p w:rsidR="00EF701A" w:rsidRDefault="00BA3795" w:rsidP="00BA3795">
      <w:r>
        <w:rPr>
          <w:noProof/>
        </w:rPr>
        <w:drawing>
          <wp:inline distT="0" distB="0" distL="0" distR="0" wp14:anchorId="0D863510" wp14:editId="70AE600E">
            <wp:extent cx="5486400" cy="3200400"/>
            <wp:effectExtent l="0" t="0" r="0" b="0"/>
            <wp:docPr id="714778062" name="Chart 714778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EF701A" w:rsidRDefault="00EF701A" w:rsidP="00BA3795"/>
    <w:p w:rsidR="00EF701A" w:rsidRDefault="00EF701A"/>
    <w:p w:rsidR="00DB2B53" w:rsidRDefault="00DB2B53"/>
    <w:p w:rsidR="00DB2B53" w:rsidRDefault="00DB2B53"/>
    <w:p w:rsidR="00EF701A" w:rsidRDefault="00BA3795" w:rsidP="00DB2B53">
      <w:pPr>
        <w:pStyle w:val="dataNameStyle"/>
      </w:pPr>
      <w:r>
        <w:t>Raste të menaxhuara për shuarjen e zjarrit dhe shpëtimit nga MZSH</w:t>
      </w:r>
    </w:p>
    <w:p w:rsidR="00DB2B53" w:rsidRPr="00DB2B53" w:rsidRDefault="00DB2B53" w:rsidP="00DB2B53">
      <w:pPr>
        <w:pStyle w:val="NormalWeb"/>
        <w:divId w:val="520818967"/>
      </w:pPr>
      <w:r w:rsidRPr="00DB2B53">
        <w:t xml:space="preserve">Në Bashkinë Roskovec, të dhënat për rastet e menaxhuara nga MZSH për shuarjen e zjarrit dhe shpëtimin tregojnë një trend në rritje. Në vitin </w:t>
      </w:r>
      <w:r w:rsidRPr="00DB2B53">
        <w:rPr>
          <w:b/>
          <w:bCs/>
        </w:rPr>
        <w:t>2021</w:t>
      </w:r>
      <w:r w:rsidRPr="00DB2B53">
        <w:t xml:space="preserve">, janë regjistruar gjithsej </w:t>
      </w:r>
      <w:r w:rsidRPr="00DB2B53">
        <w:rPr>
          <w:b/>
          <w:bCs/>
        </w:rPr>
        <w:t>45</w:t>
      </w:r>
      <w:r w:rsidRPr="00DB2B53">
        <w:t xml:space="preserve"> raste. Kjo shifër gati është dyfishuar në vitin </w:t>
      </w:r>
      <w:r w:rsidRPr="00DB2B53">
        <w:rPr>
          <w:b/>
          <w:bCs/>
        </w:rPr>
        <w:t>2022</w:t>
      </w:r>
      <w:r w:rsidRPr="00DB2B53">
        <w:t xml:space="preserve">, me </w:t>
      </w:r>
      <w:r w:rsidRPr="00DB2B53">
        <w:rPr>
          <w:b/>
          <w:bCs/>
        </w:rPr>
        <w:t>92</w:t>
      </w:r>
      <w:r w:rsidRPr="00DB2B53">
        <w:t xml:space="preserve"> raste. Vitin pasues, </w:t>
      </w:r>
      <w:r w:rsidRPr="00DB2B53">
        <w:rPr>
          <w:b/>
          <w:bCs/>
        </w:rPr>
        <w:t>2023</w:t>
      </w:r>
      <w:r w:rsidRPr="00DB2B53">
        <w:t xml:space="preserve">, numri i rasteve është rritur ndjeshëm në </w:t>
      </w:r>
      <w:r w:rsidRPr="00DB2B53">
        <w:rPr>
          <w:b/>
          <w:bCs/>
        </w:rPr>
        <w:t>130</w:t>
      </w:r>
      <w:r w:rsidRPr="00DB2B53">
        <w:t xml:space="preserve">. Për vitet e ardhshme, </w:t>
      </w:r>
      <w:r w:rsidRPr="00DB2B53">
        <w:rPr>
          <w:b/>
          <w:bCs/>
        </w:rPr>
        <w:t>2024</w:t>
      </w:r>
      <w:r w:rsidRPr="00DB2B53">
        <w:t xml:space="preserve">, </w:t>
      </w:r>
      <w:r w:rsidRPr="00DB2B53">
        <w:rPr>
          <w:b/>
          <w:bCs/>
        </w:rPr>
        <w:t>2025</w:t>
      </w:r>
      <w:r w:rsidRPr="00DB2B53">
        <w:t xml:space="preserve">, dhe </w:t>
      </w:r>
      <w:r w:rsidRPr="00DB2B53">
        <w:rPr>
          <w:b/>
          <w:bCs/>
        </w:rPr>
        <w:t>2026</w:t>
      </w:r>
      <w:r w:rsidRPr="00DB2B53">
        <w:t xml:space="preserve">, të tria kanë një numër konstant prej </w:t>
      </w:r>
      <w:r w:rsidRPr="00DB2B53">
        <w:rPr>
          <w:b/>
          <w:bCs/>
        </w:rPr>
        <w:t>140</w:t>
      </w:r>
      <w:r w:rsidRPr="00DB2B53">
        <w:t xml:space="preserve"> rastesh. Ky konstans sugjeron se mund të jetë arritur një nivel kapaciteti apo stabiliteti në </w:t>
      </w:r>
      <w:r w:rsidRPr="00DB2B53">
        <w:lastRenderedPageBreak/>
        <w:t xml:space="preserve">menaxhimin e situatave emergjente. Rritja e shpejtë nga viti në vit deri më </w:t>
      </w:r>
      <w:r w:rsidRPr="00DB2B53">
        <w:rPr>
          <w:b/>
          <w:bCs/>
        </w:rPr>
        <w:t>2023</w:t>
      </w:r>
      <w:r w:rsidRPr="00DB2B53">
        <w:t xml:space="preserve"> mund të lidhet me zhvillimet teknologjike, më shumë burime njerëzore, ose ndryshime klimaterike që kërkojnë më shumë intervent. Numri i rasteve për </w:t>
      </w:r>
      <w:r w:rsidRPr="00DB2B53">
        <w:rPr>
          <w:b/>
          <w:bCs/>
        </w:rPr>
        <w:t>2024</w:t>
      </w:r>
      <w:r w:rsidRPr="00DB2B53">
        <w:t>-</w:t>
      </w:r>
      <w:r w:rsidRPr="00DB2B53">
        <w:rPr>
          <w:b/>
          <w:bCs/>
        </w:rPr>
        <w:t>2026</w:t>
      </w:r>
      <w:r w:rsidRPr="00DB2B53">
        <w:t xml:space="preserve"> mbetet në nivelin më të lartë të regjistruar prej </w:t>
      </w:r>
      <w:r w:rsidRPr="00DB2B53">
        <w:rPr>
          <w:b/>
          <w:bCs/>
        </w:rPr>
        <w:t>140</w:t>
      </w:r>
      <w:r w:rsidRPr="00DB2B53">
        <w:t>. Këto të dhëna të theksuara japin një tregues të qartë për përmirësimin në menaxhimin e zjarreve dhe operacioneve të shpëtimit në këtë bashki. Rritja e ndërgjegjësimit publik dhe trajnimi më i mirë mund të kenë kontribuar gjithashtu në këtë zhvillim pozitiv.</w:t>
      </w:r>
    </w:p>
    <w:p w:rsidR="00DB2B53" w:rsidRDefault="00DB2B53">
      <w:pPr>
        <w:pStyle w:val="NormalWeb"/>
        <w:divId w:val="520818967"/>
      </w:pPr>
    </w:p>
    <w:p w:rsidR="00EF701A" w:rsidRDefault="00EF701A" w:rsidP="00BA3795"/>
    <w:p w:rsidR="00EF701A" w:rsidRDefault="00BA3795" w:rsidP="00BA3795">
      <w:r>
        <w:rPr>
          <w:noProof/>
        </w:rPr>
        <w:drawing>
          <wp:inline distT="0" distB="0" distL="0" distR="0" wp14:anchorId="6CA7F098" wp14:editId="01C5ECA3">
            <wp:extent cx="5486400" cy="3200400"/>
            <wp:effectExtent l="0" t="0" r="0" b="0"/>
            <wp:docPr id="1377066409" name="Chart 1377066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F701A" w:rsidRDefault="00EF701A" w:rsidP="00BA3795"/>
    <w:p w:rsidR="00EF701A" w:rsidRDefault="00BA3795" w:rsidP="00DB2B53">
      <w:pPr>
        <w:pStyle w:val="sherbimiemristyle"/>
        <w:jc w:val="left"/>
      </w:pPr>
      <w:bookmarkStart w:id="36" w:name="_Toc210053352"/>
      <w:r>
        <w:lastRenderedPageBreak/>
        <w:t>Menaxhimi i mbetjeve</w:t>
      </w:r>
      <w:bookmarkEnd w:id="36"/>
    </w:p>
    <w:p w:rsidR="00EF701A" w:rsidRDefault="00EF701A">
      <w:pPr>
        <w:rPr>
          <w:color w:val="0A2F41" w:themeColor="accent1" w:themeShade="80"/>
        </w:rPr>
      </w:pPr>
    </w:p>
    <w:p w:rsidR="00EF701A" w:rsidRDefault="00BA3795" w:rsidP="00BA3795">
      <w:pPr>
        <w:pStyle w:val="paragraphstyle"/>
      </w:pPr>
      <w:r>
        <w:t>Në zbatim të ligjit nr. 139/2015, i ndryshuar, bashkitë kanë detyrimin për administrim, mbikëqyrjen, inspektimin, organizimin ose mbështetje e sistemeve të grumbullimit, trajtimit dhe eliminimit të mbetjeve; mbledhjen, largimin dhe trajtimin e mbetjeve të ngurta dhe shtëpiake; administrimin e granteve, huave ose financimeve për të mbështetur ndërtimin, mirëmbajtjen ose përmirësimin e këtyre sistemeve; pastrimin e rrugëve, parqeveve etj. Ky funksion përfaqëson një nga përgjegjësitë më të rëndësishme të bashkisë, me ndikim të drejtpërdrejtë në mjedis dhe në cilësinë e jetës së qytetarëve.</w:t>
      </w:r>
    </w:p>
    <w:p w:rsidR="00EF701A" w:rsidRDefault="00EF701A" w:rsidP="00BA3795">
      <w:pPr>
        <w:pStyle w:val="paragraphstyle"/>
      </w:pPr>
    </w:p>
    <w:p w:rsidR="00EF701A" w:rsidRDefault="00BA3795" w:rsidP="00BA3795">
      <w:pPr>
        <w:pStyle w:val="paragraphstyle"/>
        <w:sectPr w:rsidR="00EF701A" w:rsidSect="00BA3795">
          <w:headerReference w:type="even" r:id="rId63"/>
          <w:footerReference w:type="even" r:id="rId64"/>
          <w:footerReference w:type="default" r:id="rId65"/>
          <w:headerReference w:type="first" r:id="rId66"/>
          <w:footerReference w:type="first" r:id="rId67"/>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87936" behindDoc="0" locked="0" layoutInCell="1" allowOverlap="1" wp14:anchorId="2113CE9B" wp14:editId="0FE9DC4B">
                <wp:simplePos x="0" y="0"/>
                <wp:positionH relativeFrom="margin">
                  <wp:align>right</wp:align>
                </wp:positionH>
                <wp:positionV relativeFrom="paragraph">
                  <wp:posOffset>445135</wp:posOffset>
                </wp:positionV>
                <wp:extent cx="5925185" cy="3346450"/>
                <wp:effectExtent l="0" t="0" r="0" b="6350"/>
                <wp:wrapSquare wrapText="bothSides"/>
                <wp:docPr id="19144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160D7340" wp14:editId="1D0B22D0">
                                  <wp:extent cx="5730000" cy="3260000"/>
                                  <wp:effectExtent l="0" t="0" r="0" b="0"/>
                                  <wp:docPr id="611111697" name="Picture 6111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8"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3CE9B" id="_x0000_s1035" type="#_x0000_t202" style="position:absolute;left:0;text-align:left;margin-left:415.35pt;margin-top:35.05pt;width:466.55pt;height:263.5pt;z-index:251687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" filled="f" stroked="f">
                <v:textbox>
                  <w:txbxContent>
                    <w:p w:rsidR="00A8516B" w:rsidRDefault="00A8516B" w:rsidP="00BA3795">
                      <w:r>
                        <w:rPr>
                          <w:noProof/>
                        </w:rPr>
                        <w:drawing>
                          <wp:inline distT="0" distB="0" distL="0" distR="0" wp14:anchorId="160D7340" wp14:editId="1D0B22D0">
                            <wp:extent cx="5730000" cy="3260000"/>
                            <wp:effectExtent l="0" t="0" r="0" b="0"/>
                            <wp:docPr id="611111697" name="Picture 61111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8"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371"/>
        <w:gridCol w:w="5120"/>
        <w:gridCol w:w="756"/>
        <w:gridCol w:w="756"/>
        <w:gridCol w:w="696"/>
        <w:gridCol w:w="739"/>
        <w:gridCol w:w="756"/>
        <w:gridCol w:w="756"/>
      </w:tblGrid>
      <w:tr w:rsidR="00BA3795" w:rsidTr="00D63603">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287" w:type="pct"/>
            <w:shd w:val="clear" w:color="auto" w:fill="D9E1F2"/>
            <w:vAlign w:val="center"/>
          </w:tcPr>
          <w:p w:rsidR="00EF701A" w:rsidRDefault="00BA3795">
            <w:pPr>
              <w:spacing w:after="0" w:line="200" w:lineRule="auto"/>
            </w:pPr>
            <w:r>
              <w:rPr>
                <w:b/>
              </w:rPr>
              <w:t>2024</w:t>
            </w:r>
          </w:p>
        </w:tc>
        <w:tc>
          <w:tcPr>
            <w:tcW w:w="287" w:type="pct"/>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D63603" w:rsidTr="00D63603">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D63603" w:rsidRDefault="00D63603">
            <w:pPr>
              <w:spacing w:after="0" w:line="240" w:lineRule="auto"/>
            </w:pPr>
            <w:r>
              <w:t>Rritja e territorit të mbuluar me shërbimin e menaxhimit të mbetjeve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D63603" w:rsidRDefault="00D63603">
            <w:pPr>
              <w:spacing w:after="0" w:line="240" w:lineRule="auto"/>
            </w:pPr>
            <w:r>
              <w:t>Raporti në % i sipërfaqes së mbuluar me shërbimin e menaxhimit të mbetjeve kundrejt sipërfaqes totale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1372C7">
              <w:t>95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1372C7">
              <w:t>95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1372C7">
              <w:t>95</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795B84">
              <w:t>95</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795B84">
              <w:t>95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D63603" w:rsidRDefault="00D63603">
            <w:r w:rsidRPr="00795B84">
              <w:t>95</w:t>
            </w:r>
          </w:p>
        </w:tc>
      </w:tr>
      <w:tr w:rsidR="00BA3795" w:rsidTr="00D63603">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mbulimit me shërbimin e menaxhimit të mbetjeve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popullsisë së mbuluar me shërbimin e menaxhimit të mbetjeve ndaj popullsisë totale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77.52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77.01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D63603">
            <w:pPr>
              <w:spacing w:after="0" w:line="240" w:lineRule="auto"/>
            </w:pPr>
            <w:r>
              <w:t>90</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D63603">
            <w:pPr>
              <w:spacing w:after="0" w:line="240" w:lineRule="auto"/>
            </w:pPr>
            <w:r>
              <w:t>96</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73.67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73.67</w:t>
            </w:r>
          </w:p>
        </w:tc>
      </w:tr>
      <w:tr w:rsidR="00BA3795" w:rsidTr="00D63603">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Kosha/Kazanë të mirëmbajtur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koshave/kazanëve të mirëmbajtur ndaj koshave/kazanëve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287"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p>
    <w:p w:rsidR="00EF701A" w:rsidRDefault="00EF701A"/>
    <w:p w:rsidR="00EF701A" w:rsidRDefault="00BA3795" w:rsidP="00BA3795">
      <w:pPr>
        <w:pStyle w:val="indicatorNameStyle"/>
        <w:numPr>
          <w:ilvl w:val="0"/>
          <w:numId w:val="3"/>
        </w:numPr>
      </w:pPr>
      <w:r>
        <w:t>Rritja e territorit të mbuluar me shërbimin e menaxhimit të mbetjeve</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Raporti në % i sipërfaqes së mbuluar me shërbimin e menaxhimit të mbetjeve kundrejt sipërfaqes totale të bashkisë</w:t>
            </w:r>
          </w:p>
        </w:tc>
      </w:tr>
    </w:tbl>
    <w:p w:rsidR="00EF701A" w:rsidRDefault="00BA3795">
      <w:pPr>
        <w:pStyle w:val="NormalWeb"/>
        <w:divId w:val="681201237"/>
      </w:pPr>
      <w:r>
        <w:t xml:space="preserve">Raporti në % i sipërfaqes së mbuluar me shërbimin e menaxhimit të mbetjeve për bashkinë Roskovec mbetet konstant gjatë periudhës së viteve 2021-2026. </w:t>
      </w:r>
      <w:r w:rsidR="00B774C2">
        <w:rPr>
          <w:rStyle w:val="Strong"/>
          <w:rFonts w:eastAsiaTheme="majorEastAsia"/>
        </w:rPr>
        <w:t>95</w:t>
      </w:r>
      <w:r>
        <w:rPr>
          <w:rStyle w:val="Strong"/>
          <w:rFonts w:eastAsiaTheme="majorEastAsia"/>
        </w:rPr>
        <w:t>%</w:t>
      </w:r>
      <w:r>
        <w:t xml:space="preserve"> e sipërfaqes totale të bashkisë ka qasje në këtë shërbim menaxhimi. Ky qëndrueshmëri në përqindje tregon se bashkia ka arritur të mbajë një nivel të lartë mbulimi pa ndryshime të dukshme. Një mbulim kaq i lartë tregon angazhimin e bashkisë në ofrimin e shërbimeve efektive për menaxhimin e mbetjeve. Paqëndrueshmëria në këto vlera do të mund të sinjalizonte probleme logjistike apo mungesë fondesh, por kjo nuk është rasti për Roskovecin. Bashkia duket se ka një plan të mirëorganizuar që garanton vijimësinë e këtyre shërbimeve. Përqindja e lartë është një tregues pozitiv për cilësinë e jetës dhe mbrojtjen e mjedisit në këtë zone. Gjithashtu, duke mbajtur konsistent </w:t>
      </w:r>
      <w:r w:rsidR="00B774C2">
        <w:rPr>
          <w:rStyle w:val="Strong"/>
          <w:rFonts w:eastAsiaTheme="majorEastAsia"/>
        </w:rPr>
        <w:t>95</w:t>
      </w:r>
      <w:r>
        <w:rPr>
          <w:rStyle w:val="Strong"/>
          <w:rFonts w:eastAsiaTheme="majorEastAsia"/>
        </w:rPr>
        <w:t>%</w:t>
      </w:r>
      <w:r>
        <w:t xml:space="preserve"> të shërbimeve, bashkia ndihmon në reduktimin e mbetjeve të paadministruara. Kjo është një strategji e rëndësishme për të ruajtur higjenën dhe shëndetin publik. Për të ardhmen, sfida do të jetë ruajtja ose përmirësimi i këtij standardi në përputhje me rritjen e popullsisë apo ndryshime të tjera në strukturën urbane.</w:t>
      </w:r>
    </w:p>
    <w:p w:rsidR="00EF701A" w:rsidRDefault="00EF701A" w:rsidP="00BA3795"/>
    <w:p w:rsidR="00EF701A" w:rsidRDefault="00533960" w:rsidP="00BA3795">
      <w:pPr>
        <w:rPr>
          <w:rFonts w:cs="Times New Roman"/>
        </w:rPr>
      </w:pPr>
      <w:r>
        <w:rPr>
          <w:noProof/>
        </w:rPr>
        <w:drawing>
          <wp:inline distT="0" distB="0" distL="0" distR="0">
            <wp:extent cx="5238750" cy="2514600"/>
            <wp:effectExtent l="0" t="0" r="0" b="0"/>
            <wp:docPr id="11" name="Picture 2" descr="Screenshot 2025-11-13 11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2025-11-13 1145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0" cy="2514600"/>
                    </a:xfrm>
                    <a:prstGeom prst="rect">
                      <a:avLst/>
                    </a:prstGeom>
                    <a:noFill/>
                    <a:ln>
                      <a:noFill/>
                    </a:ln>
                  </pic:spPr>
                </pic:pic>
              </a:graphicData>
            </a:graphic>
          </wp:inline>
        </w:drawing>
      </w: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014"/>
        <w:gridCol w:w="1056"/>
        <w:gridCol w:w="1176"/>
        <w:gridCol w:w="1176"/>
        <w:gridCol w:w="1176"/>
        <w:gridCol w:w="1176"/>
        <w:gridCol w:w="117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gjobave të vendosura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5875000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13827000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20138000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20138000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20138000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20138000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Makineri pastrimi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Kazane plehrash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gjithësej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Frekuenca e grumbullimit dhe transportimit të mbetjeve në zonat rurale (ditë në javë)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Frekuenca e grumbullimit dhe transportimit të mbetjeve në zonat urbane (ditë në javë)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Kosha / kazanë mbeturinash të mirëmbajtur / dezinfektuar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209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314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367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417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Kosha / kazanë të rinj</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7</w:t>
            </w:r>
            <w:r w:rsidR="00BA3795">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064A6A">
            <w:pPr>
              <w:spacing w:after="0" w:line="240" w:lineRule="auto"/>
            </w:pPr>
            <w:r>
              <w:t>50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popullsisë në bashki e mbuluar me shërbimin e menaxhimit të mbetjeve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25048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25048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r w:rsidR="00301B14">
              <w:t>25</w:t>
            </w:r>
            <w:r>
              <w:t>8</w:t>
            </w:r>
            <w:r w:rsidR="00301B14">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301B14">
            <w:pPr>
              <w:spacing w:after="0" w:line="240" w:lineRule="auto"/>
            </w:pPr>
            <w:r>
              <w:t>240</w:t>
            </w:r>
            <w:r w:rsidR="00BA3795">
              <w:t>8</w:t>
            </w: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25048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25048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Sasia totale e mbetjeve urbane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301B14">
            <w:pPr>
              <w:spacing w:after="0" w:line="240" w:lineRule="auto"/>
            </w:pPr>
            <w:r>
              <w:t>2503.2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301B14">
            <w:pPr>
              <w:spacing w:after="0" w:line="240" w:lineRule="auto"/>
            </w:pPr>
            <w:r>
              <w:t>3024.3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301B14" w:rsidRDefault="00301B14">
            <w:pPr>
              <w:spacing w:after="0" w:line="240" w:lineRule="auto"/>
            </w:pPr>
          </w:p>
          <w:p w:rsidR="00EF701A" w:rsidRDefault="00301B14">
            <w:pPr>
              <w:spacing w:after="0" w:line="240" w:lineRule="auto"/>
            </w:pPr>
            <w:r>
              <w:t>3557.96</w:t>
            </w:r>
          </w:p>
          <w:p w:rsidR="00301B14" w:rsidRDefault="00301B14">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6400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mbuluar me shërbimin e menaxhimit të mbetjeve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112</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Pr="00F300AB" w:rsidRDefault="00EF701A" w:rsidP="00BA3795">
      <w:pPr>
        <w:rPr>
          <w:rFonts w:cs="Times New Roman"/>
        </w:rPr>
      </w:pPr>
    </w:p>
    <w:p w:rsidR="00EF701A" w:rsidRDefault="00EF701A"/>
    <w:p w:rsidR="00EF701A" w:rsidRDefault="00BA3795" w:rsidP="00BA3795">
      <w:pPr>
        <w:pStyle w:val="dataNameStyle"/>
      </w:pPr>
      <w:r>
        <w:t>Kosha / kazanë mbeturinash të mirëmbajtur / dezinfektuar</w:t>
      </w:r>
    </w:p>
    <w:p w:rsidR="00EF701A" w:rsidRDefault="00BA3795">
      <w:pPr>
        <w:pStyle w:val="NormalWeb"/>
        <w:divId w:val="2089501627"/>
      </w:pPr>
      <w:r>
        <w:t xml:space="preserve">Të dhënat për mirëmbajtjen dhe dezinfektimin e koshave të mbeturinave në Bashkinë Roskovec tregojnë një trend rritës përgjatë periudhës së vëzhguar. Në </w:t>
      </w:r>
      <w:r>
        <w:rPr>
          <w:rStyle w:val="Strong"/>
          <w:rFonts w:eastAsiaTheme="majorEastAsia"/>
        </w:rPr>
        <w:t>2021</w:t>
      </w:r>
      <w:r>
        <w:t xml:space="preserve">, janë mirëmbajtur dhe dezinfektuar </w:t>
      </w:r>
      <w:r>
        <w:rPr>
          <w:rStyle w:val="Strong"/>
          <w:rFonts w:eastAsiaTheme="majorEastAsia"/>
        </w:rPr>
        <w:t>169</w:t>
      </w:r>
      <w:r>
        <w:t xml:space="preserve"> kosha mbeturinash. Kjo shifër u rrit në </w:t>
      </w:r>
      <w:r>
        <w:rPr>
          <w:rStyle w:val="Strong"/>
          <w:rFonts w:eastAsiaTheme="majorEastAsia"/>
        </w:rPr>
        <w:t>181</w:t>
      </w:r>
      <w:r>
        <w:t xml:space="preserve"> në </w:t>
      </w:r>
      <w:r>
        <w:rPr>
          <w:rStyle w:val="Strong"/>
          <w:rFonts w:eastAsiaTheme="majorEastAsia"/>
        </w:rPr>
        <w:t>2022</w:t>
      </w:r>
      <w:r>
        <w:t xml:space="preserve">, duke reflektuar një angazhim për përmirësimin e higjienës urbane. Në </w:t>
      </w:r>
      <w:r>
        <w:rPr>
          <w:rStyle w:val="Strong"/>
          <w:rFonts w:eastAsiaTheme="majorEastAsia"/>
        </w:rPr>
        <w:t>2023</w:t>
      </w:r>
      <w:r>
        <w:t xml:space="preserve">, ka pasur një stabilizim me </w:t>
      </w:r>
      <w:r w:rsidR="00E74322">
        <w:rPr>
          <w:rStyle w:val="Strong"/>
          <w:rFonts w:eastAsiaTheme="majorEastAsia"/>
        </w:rPr>
        <w:t>209</w:t>
      </w:r>
      <w:r>
        <w:t xml:space="preserve"> kosha të raportuar si të mirëmbajtur dhe dezinfektuar. Ky numër </w:t>
      </w:r>
      <w:r w:rsidR="00E74322">
        <w:t xml:space="preserve">rritet </w:t>
      </w:r>
      <w:r>
        <w:t xml:space="preserve">në </w:t>
      </w:r>
      <w:r>
        <w:rPr>
          <w:rStyle w:val="Strong"/>
          <w:rFonts w:eastAsiaTheme="majorEastAsia"/>
        </w:rPr>
        <w:t>2024</w:t>
      </w:r>
      <w:r w:rsidR="00E74322">
        <w:rPr>
          <w:rStyle w:val="Strong"/>
          <w:rFonts w:eastAsiaTheme="majorEastAsia"/>
        </w:rPr>
        <w:t xml:space="preserve"> </w:t>
      </w:r>
      <w:r w:rsidR="00E74322" w:rsidRPr="00E74322">
        <w:rPr>
          <w:rStyle w:val="Strong"/>
          <w:rFonts w:eastAsiaTheme="majorEastAsia"/>
          <w:b w:val="0"/>
        </w:rPr>
        <w:t>në 314 kosha</w:t>
      </w:r>
      <w:r>
        <w:t xml:space="preserve"> dhe </w:t>
      </w:r>
      <w:r>
        <w:rPr>
          <w:rStyle w:val="Strong"/>
          <w:rFonts w:eastAsiaTheme="majorEastAsia"/>
        </w:rPr>
        <w:t>2025</w:t>
      </w:r>
      <w:r w:rsidR="00E74322">
        <w:rPr>
          <w:rStyle w:val="Strong"/>
          <w:rFonts w:eastAsiaTheme="majorEastAsia"/>
        </w:rPr>
        <w:t xml:space="preserve"> trendi rritës </w:t>
      </w:r>
      <w:r w:rsidR="00E74322" w:rsidRPr="00E74322">
        <w:rPr>
          <w:rStyle w:val="Strong"/>
          <w:rFonts w:eastAsiaTheme="majorEastAsia"/>
          <w:b w:val="0"/>
        </w:rPr>
        <w:t>vijonë në 367</w:t>
      </w:r>
      <w:r>
        <w:t>, duke treguar një konsisten</w:t>
      </w:r>
      <w:r w:rsidR="00E74322">
        <w:t>cë në përpjekjet e mirëmbajtjes</w:t>
      </w:r>
      <w:r>
        <w:t>. Kjo rritje e qëndrueshme mund të lidhet me politika të qëndrueshme të mbrojtjes së mjedisit nga bashkia. Përmirësimi i vazhdueshëm i shërbimeve tregon një përkushtim ndaj mirëqenies së komunitetit dhe pasurisë publike. Të dhënat sugjerojnë gjithashtu investime të mundshme në infrastrukturë dhe trajnime për stafin e mirëmbajtjes. Ky trend mund të jetë një shembull për bashki të tjera në drejtim të praktikave të menaxhimit të mbetjeve.</w:t>
      </w:r>
    </w:p>
    <w:p w:rsidR="00EF701A" w:rsidRDefault="00EF701A" w:rsidP="00BA3795"/>
    <w:p w:rsidR="00EF701A" w:rsidRDefault="00533960" w:rsidP="00BA3795">
      <w:r>
        <w:rPr>
          <w:noProof/>
        </w:rPr>
        <w:drawing>
          <wp:inline distT="0" distB="0" distL="0" distR="0">
            <wp:extent cx="5943600" cy="3714750"/>
            <wp:effectExtent l="0" t="0" r="0" b="0"/>
            <wp:docPr id="10" name="Picture 3" descr="grafiku_koshat_2021_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fiku_koshat_2021_20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EF701A" w:rsidRDefault="00EF701A" w:rsidP="00BA3795"/>
    <w:p w:rsidR="00EF701A" w:rsidRDefault="00EF701A"/>
    <w:p w:rsidR="00EF701A" w:rsidRDefault="00BA3795" w:rsidP="00BA3795">
      <w:pPr>
        <w:pStyle w:val="dataNameStyle"/>
      </w:pPr>
      <w:r>
        <w:t>Sasia totale e mbetjeve urbane</w:t>
      </w:r>
    </w:p>
    <w:p w:rsidR="00DB2B53" w:rsidRPr="00DB2B53" w:rsidRDefault="00DB2B53" w:rsidP="00DB2B53">
      <w:pPr>
        <w:pStyle w:val="NormalWeb"/>
        <w:divId w:val="631402850"/>
      </w:pPr>
      <w:r w:rsidRPr="00DB2B53">
        <w:t xml:space="preserve">Nga të dhënat e paraqitura për </w:t>
      </w:r>
      <w:r w:rsidRPr="00DB2B53">
        <w:rPr>
          <w:b/>
          <w:bCs/>
        </w:rPr>
        <w:t>sasinë totale të mbetjeve urbane</w:t>
      </w:r>
      <w:r w:rsidRPr="00DB2B53">
        <w:t xml:space="preserve"> në bashkinë Roskovec, vihet re një trend në rritje përgjatë viteve të studiuara</w:t>
      </w:r>
      <w:r w:rsidR="00301B14">
        <w:t xml:space="preserve"> ne perjashtim te vitit </w:t>
      </w:r>
      <w:r w:rsidR="00301B14" w:rsidRPr="00301B14">
        <w:rPr>
          <w:b/>
        </w:rPr>
        <w:t>2022</w:t>
      </w:r>
      <w:r w:rsidR="00301B14">
        <w:t xml:space="preserve"> ku sasia totale e mbetejve urbane shkone ne </w:t>
      </w:r>
      <w:r w:rsidR="00301B14" w:rsidRPr="00301B14">
        <w:rPr>
          <w:b/>
        </w:rPr>
        <w:t>2503.2</w:t>
      </w:r>
      <w:r w:rsidR="00301B14">
        <w:rPr>
          <w:b/>
        </w:rPr>
        <w:t xml:space="preserve"> </w:t>
      </w:r>
      <w:r w:rsidR="00301B14" w:rsidRPr="00301B14">
        <w:t>ton</w:t>
      </w:r>
      <w:r w:rsidRPr="00DB2B53">
        <w:t xml:space="preserve">. Në vitin </w:t>
      </w:r>
      <w:r w:rsidRPr="00DB2B53">
        <w:rPr>
          <w:b/>
          <w:bCs/>
        </w:rPr>
        <w:t>2021</w:t>
      </w:r>
      <w:r w:rsidRPr="00DB2B53">
        <w:t xml:space="preserve">, vërehet se sasia e mbetjeve ishte </w:t>
      </w:r>
      <w:r w:rsidRPr="00DB2B53">
        <w:rPr>
          <w:b/>
          <w:bCs/>
        </w:rPr>
        <w:t>5950</w:t>
      </w:r>
      <w:r w:rsidR="00301B14">
        <w:t xml:space="preserve"> ton. Ky numër u ul</w:t>
      </w:r>
      <w:r w:rsidRPr="00DB2B53">
        <w:t xml:space="preserve"> </w:t>
      </w:r>
      <w:r w:rsidR="00301B14">
        <w:t xml:space="preserve">ndjeshem </w:t>
      </w:r>
      <w:r w:rsidRPr="00DB2B53">
        <w:t xml:space="preserve">në </w:t>
      </w:r>
      <w:r w:rsidRPr="00DB2B53">
        <w:rPr>
          <w:b/>
          <w:bCs/>
        </w:rPr>
        <w:t>2022</w:t>
      </w:r>
      <w:r w:rsidRPr="00DB2B53">
        <w:t xml:space="preserve">, duke arritur në </w:t>
      </w:r>
      <w:r w:rsidR="00301B14" w:rsidRPr="00301B14">
        <w:rPr>
          <w:b/>
        </w:rPr>
        <w:t>2503.2</w:t>
      </w:r>
      <w:r w:rsidR="00301B14">
        <w:rPr>
          <w:b/>
        </w:rPr>
        <w:t xml:space="preserve"> </w:t>
      </w:r>
      <w:r w:rsidR="00301B14" w:rsidRPr="00301B14">
        <w:t>ton</w:t>
      </w:r>
      <w:r w:rsidRPr="00DB2B53">
        <w:t xml:space="preserve">. Në </w:t>
      </w:r>
      <w:r w:rsidRPr="00DB2B53">
        <w:rPr>
          <w:b/>
          <w:bCs/>
        </w:rPr>
        <w:t>2023</w:t>
      </w:r>
      <w:r w:rsidRPr="00DB2B53">
        <w:t xml:space="preserve">, pati një rritje më të ndjeshme, ku sasia totale arriti në </w:t>
      </w:r>
      <w:r w:rsidR="00301B14">
        <w:rPr>
          <w:b/>
          <w:bCs/>
        </w:rPr>
        <w:t xml:space="preserve">3024.3 </w:t>
      </w:r>
      <w:r w:rsidRPr="00DB2B53">
        <w:t xml:space="preserve">ton. Kur shikojmë në të ardhmen, të dhënat për </w:t>
      </w:r>
      <w:r w:rsidRPr="00DB2B53">
        <w:rPr>
          <w:b/>
          <w:bCs/>
        </w:rPr>
        <w:t>2024</w:t>
      </w:r>
      <w:r w:rsidRPr="00DB2B53">
        <w:t xml:space="preserve"> tregojnë një rritje të mëtejshme në </w:t>
      </w:r>
      <w:r w:rsidR="00301B14">
        <w:rPr>
          <w:b/>
          <w:bCs/>
        </w:rPr>
        <w:t>64</w:t>
      </w:r>
      <w:r w:rsidRPr="00DB2B53">
        <w:rPr>
          <w:b/>
          <w:bCs/>
        </w:rPr>
        <w:t>00</w:t>
      </w:r>
      <w:r w:rsidRPr="00DB2B53">
        <w:t xml:space="preserve"> ton. Trendi vazhdon edhe në </w:t>
      </w:r>
      <w:r w:rsidRPr="00DB2B53">
        <w:rPr>
          <w:b/>
          <w:bCs/>
        </w:rPr>
        <w:t>2025</w:t>
      </w:r>
      <w:r w:rsidRPr="00DB2B53">
        <w:t xml:space="preserve">, ku sasia e mbetjeve arrin në </w:t>
      </w:r>
      <w:r w:rsidRPr="00DB2B53">
        <w:rPr>
          <w:b/>
          <w:bCs/>
        </w:rPr>
        <w:t>6400</w:t>
      </w:r>
      <w:r w:rsidRPr="00DB2B53">
        <w:t xml:space="preserve"> ton. Projekcionet për vitin </w:t>
      </w:r>
      <w:r w:rsidRPr="00DB2B53">
        <w:rPr>
          <w:b/>
          <w:bCs/>
        </w:rPr>
        <w:t>2026</w:t>
      </w:r>
      <w:r w:rsidRPr="00DB2B53">
        <w:t xml:space="preserve"> tregojnë një përshpejtim të mëtejshëm të kësaj rritjeje, me një vlerë prej </w:t>
      </w:r>
      <w:r w:rsidRPr="00DB2B53">
        <w:rPr>
          <w:b/>
          <w:bCs/>
        </w:rPr>
        <w:t>6500</w:t>
      </w:r>
      <w:r w:rsidRPr="00DB2B53">
        <w:t xml:space="preserve"> ton. Kjo rritje e sasisë së mbetjeve reflekton një potencial të rritjes së popullsisë dhe aktivitetit ekonomik në zonë. Nevojitet planifikim i mirë për të siguruar që infrastruktura e menaxhimit të mbetjeve në Roskovec të jetë në gjendje të përballojë këto shtesa. Përmirësimi i strategjive të riciklimit dhe zvogëlimit mund të ndihmojë në menaxhimin e suksesshëm të sasisë në rritje të mbetjeve.</w:t>
      </w:r>
    </w:p>
    <w:p w:rsidR="00DB2B53" w:rsidRDefault="00DB2B53">
      <w:pPr>
        <w:pStyle w:val="NormalWeb"/>
        <w:divId w:val="631402850"/>
      </w:pPr>
    </w:p>
    <w:p w:rsidR="00EF701A" w:rsidRDefault="00EF701A" w:rsidP="00BA3795"/>
    <w:p w:rsidR="00EF701A" w:rsidRDefault="00533960" w:rsidP="00BA3795">
      <w:pPr>
        <w:rPr>
          <w:noProof/>
        </w:rPr>
      </w:pPr>
      <w:r>
        <w:rPr>
          <w:noProof/>
        </w:rPr>
        <w:drawing>
          <wp:inline distT="0" distB="0" distL="0" distR="0">
            <wp:extent cx="5457825" cy="2743200"/>
            <wp:effectExtent l="0" t="0" r="9525" b="0"/>
            <wp:docPr id="9" name="Picture 4" descr="Screenshot 2025-11-13 11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2025-11-13 1158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57825" cy="2743200"/>
                    </a:xfrm>
                    <a:prstGeom prst="rect">
                      <a:avLst/>
                    </a:prstGeom>
                    <a:noFill/>
                    <a:ln>
                      <a:noFill/>
                    </a:ln>
                  </pic:spPr>
                </pic:pic>
              </a:graphicData>
            </a:graphic>
          </wp:inline>
        </w:drawing>
      </w:r>
    </w:p>
    <w:p w:rsidR="00495720" w:rsidRDefault="00495720" w:rsidP="00BA3795">
      <w:pPr>
        <w:rPr>
          <w:noProof/>
        </w:rPr>
      </w:pPr>
    </w:p>
    <w:p w:rsidR="00495720" w:rsidRDefault="00495720" w:rsidP="00BA3795"/>
    <w:p w:rsidR="00EF701A" w:rsidRDefault="00EF701A" w:rsidP="00BA3795"/>
    <w:p w:rsidR="00EF701A" w:rsidRDefault="00BA3795" w:rsidP="00DB2B53">
      <w:pPr>
        <w:pStyle w:val="sherbimiemristyle"/>
        <w:jc w:val="left"/>
      </w:pPr>
      <w:bookmarkStart w:id="37" w:name="_Toc210053353"/>
      <w:r>
        <w:lastRenderedPageBreak/>
        <w:t>Përkujdesi Social</w:t>
      </w:r>
      <w:bookmarkEnd w:id="37"/>
    </w:p>
    <w:p w:rsidR="00EF701A" w:rsidRDefault="00EF701A">
      <w:pPr>
        <w:rPr>
          <w:color w:val="0A2F41" w:themeColor="accent1" w:themeShade="80"/>
        </w:rPr>
      </w:pPr>
    </w:p>
    <w:p w:rsidR="00EF701A" w:rsidRDefault="00BA3795" w:rsidP="00BA3795">
      <w:pPr>
        <w:pStyle w:val="paragraphstyle"/>
      </w:pPr>
      <w:r>
        <w:t>Sherbimi përfshin dhënien e përfitimeve në para dhe në natyrë për familjet me fëmijë, duke përfshirë pagesa për nëna, grante për lindje, mbështetje për kujdesin e fëmijëve dhe pagesa periodike ose të menjëhershme për të ndihmuar familjet në përballimin e kostove specifike, si ato të energjisë, ujit dhe shërbimeve sanitare. Përfshihet gjithashtu ndihma për kujdestarët e fëmijëve, strehimi dhe ushqimi për fëmijët dhe familjet (jetimore, familje kujdestare etj.), si dhe dhënia e mallrave dhe shërbimeve për familjet, të rinjtë dhe fëmijët.  Shërbimi mbulon gjithashtu përfitimet në para dhe natyrë për personat në rrezik për përjashtim shoqëror, përfshirë personat në skamje, me fitime të ulëta, imigrantët, refugjatët, viktimat e dhunës dhe abuzuesit e substancave, duke përfshirë kompensimin e pagave, strehimin afatshkurtër dhe afatgjatë, vakte ushqimi, këshillim, ndihmë për kryerjen e punëve të përditshme dhe furnizim me ushqim, veshje ose lëndë djegëse. Shërbimi mbështetet nga fondet e pushtetit qendror për funksionin e deleguar të ndihmës ekonomike dhe pagesave për personat me aftësi të kufizuar, dhe përfshin administrimin, organizimin dhe mbështetjen e skemave të mbrojtjes shoqërore."</w:t>
      </w:r>
    </w:p>
    <w:p w:rsidR="00EF701A" w:rsidRDefault="00EF701A" w:rsidP="00BA3795">
      <w:pPr>
        <w:pStyle w:val="paragraphstyle"/>
      </w:pPr>
    </w:p>
    <w:p w:rsidR="00EF701A" w:rsidRDefault="00BA3795" w:rsidP="00BA3795">
      <w:pPr>
        <w:pStyle w:val="paragraphstyle"/>
        <w:sectPr w:rsidR="00EF701A" w:rsidSect="00BA3795">
          <w:headerReference w:type="even" r:id="rId72"/>
          <w:footerReference w:type="even" r:id="rId73"/>
          <w:footerReference w:type="default" r:id="rId74"/>
          <w:headerReference w:type="first" r:id="rId75"/>
          <w:footerReference w:type="first" r:id="rId76"/>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89984" behindDoc="0" locked="0" layoutInCell="1" allowOverlap="1" wp14:anchorId="5BF0952A" wp14:editId="3797651E">
                <wp:simplePos x="0" y="0"/>
                <wp:positionH relativeFrom="margin">
                  <wp:align>right</wp:align>
                </wp:positionH>
                <wp:positionV relativeFrom="paragraph">
                  <wp:posOffset>445135</wp:posOffset>
                </wp:positionV>
                <wp:extent cx="5925185" cy="3346450"/>
                <wp:effectExtent l="0" t="0" r="0" b="6350"/>
                <wp:wrapSquare wrapText="bothSides"/>
                <wp:docPr id="974346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4F4340C1" wp14:editId="621818FB">
                                  <wp:extent cx="5730000" cy="3260000"/>
                                  <wp:effectExtent l="0" t="0" r="0" b="0"/>
                                  <wp:docPr id="555715984" name="Picture 55571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7"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0952A" id="_x0000_s1036" type="#_x0000_t202" style="position:absolute;left:0;text-align:left;margin-left:415.35pt;margin-top:35.05pt;width:466.55pt;height:263.5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CHCYCP&#10;SwIAANc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4F4340C1" wp14:editId="621818FB">
                            <wp:extent cx="5730000" cy="3260000"/>
                            <wp:effectExtent l="0" t="0" r="0" b="0"/>
                            <wp:docPr id="555715984" name="Picture 55571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7"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1901"/>
        <w:gridCol w:w="3345"/>
        <w:gridCol w:w="1229"/>
        <w:gridCol w:w="1229"/>
        <w:gridCol w:w="1229"/>
        <w:gridCol w:w="1229"/>
        <w:gridCol w:w="1672"/>
        <w:gridCol w:w="111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342B0" w:rsidRPr="00B342B0"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jc w:val="left"/>
            </w:pPr>
            <w:r w:rsidRPr="00B342B0">
              <w:t>Rritja e përfitimit monetar për përfituesit e ndihmës ekonomike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jc w:val="left"/>
            </w:pPr>
            <w:r w:rsidRPr="00B342B0">
              <w:t>Shpenzime totale për ndihmë ekonomike kundrejt numrit të përfituesve të ndihmës ekonomike (lekë/përfitues)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rPr>
                <w:color w:val="000000"/>
                <w:sz w:val="27"/>
                <w:szCs w:val="27"/>
              </w:rPr>
              <w:t>95032.40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rPr>
                <w:color w:val="000000"/>
                <w:sz w:val="27"/>
                <w:szCs w:val="27"/>
              </w:rPr>
              <w:t>75488.49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rPr>
                <w:color w:val="000000"/>
                <w:sz w:val="27"/>
                <w:szCs w:val="27"/>
              </w:rPr>
              <w:t>76501.26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rPr>
                <w:color w:val="000000"/>
                <w:sz w:val="27"/>
                <w:szCs w:val="27"/>
              </w:rPr>
              <w:t>80613.78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rPr>
                <w:color w:val="000000"/>
                <w:sz w:val="27"/>
                <w:szCs w:val="27"/>
              </w:rPr>
              <w:t>73194.21 Deri më 31.10.2025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76923.08</w:t>
            </w:r>
          </w:p>
        </w:tc>
      </w:tr>
      <w:tr w:rsidR="00B342B0" w:rsidRPr="00B342B0"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jc w:val="left"/>
            </w:pPr>
            <w:r w:rsidRPr="00B342B0">
              <w:t>Mbështetja financiare e papunësisë ofrohet sipas kritereve ligjore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jc w:val="left"/>
            </w:pPr>
            <w:r w:rsidRPr="00B342B0">
              <w:t>Buxheti i alokuar për mbështetjen e personave të papunë si asistencë sociale kundrejt numrit total të personave të mbështetur (Lekë në muaj / persona të papunë)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B342B0" w:rsidRPr="00B342B0" w:rsidRDefault="00B342B0" w:rsidP="00A8516B">
            <w:pPr>
              <w:spacing w:after="0" w:line="240" w:lineRule="auto"/>
            </w:pPr>
            <w:r w:rsidRPr="00B342B0">
              <w:t>0</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125"/>
        <w:gridCol w:w="1296"/>
        <w:gridCol w:w="1296"/>
        <w:gridCol w:w="1296"/>
        <w:gridCol w:w="1296"/>
        <w:gridCol w:w="1515"/>
        <w:gridCol w:w="312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Fondi i alokuar për asistencë sociale për personat e papunë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Fondi i alokuar për asistencë sociale për personat e papunë në lekë</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Shpenzime totale për mbështetjen e personave me ndihmë ekonomike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30.695.468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22.797.526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22.491.371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15.639.074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12.735.793 deri më 31.10.2025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Shpenzime totale për mbështetjen e personave me ndihmë ekonomike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Punonjës të bashkisë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Punonjës të bashkisë në total</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qendrave komunitare shumëdisiplinare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qendrave komunitare shumëdisiplinare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Fondi social në lekë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1.156.000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1.023.000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1.023.000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Fondi social në lekë në total</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punonjësve social të njvv</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punonjësve social të njvv</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pak të punësuar në bashki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pak të punësuar në bashki</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pak të aftë për punë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pak të aftë për punë</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lastRenderedPageBreak/>
              <w:t>Numri total i personave pak të moshës deri 21 vjeç që kanë nevojë për trajtim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personave pak të moshës deri 21 vjeç që kanë nevojë për trajtim</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të punësuarve nga zbatimi i projekteve/programeve publike të punësimit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të punësuarve nga zbatimi i projekteve/programeve publike të punësimit</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qendrave komunitare shumëdisiplinare që plotësojnë 6 standardet e mshms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qendrave komunitare shumëdisiplinare që plotësojnë 6 standardet e mshms</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të moshuarve në nevojë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të moshuarve në nevojë</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Fëmijë të shërbyer në qendra ditore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Fëmijë të shërbyer në qendra ditore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Numër personash të asistuar me pagesë invaliditeti dhe paaftësie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936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891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965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975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990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Numër personash të asistuar me pagesë invaliditeti dhe paaftësie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familjeve që përfitojnë ndihmë ekonomike.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294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194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familjeve që përfitojnë ndihmë ekonomike.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Inspektime të kryera për ndihmën ekonomike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646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604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Inspektime të kryera për ndihmën ekonomike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lastRenderedPageBreak/>
              <w:t>Raste të dhunës në familje të trajtuara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Raste të dhunës në familje të trajtuara</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përfituesve të trajtuar në qendrat ditore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70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75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përfituesve të trajtuar në qendrat ditore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të mbështetur (të papunë) me asistencë sociale.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i personave të mbështetur (të papunë) me asistencë sociale.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personave të moshës së tretë të shërbyer në qendrat sociale ditore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personave të moshës së tretë të shërbyer në qendrat sociale ditore</w:t>
            </w:r>
          </w:p>
        </w:tc>
      </w:tr>
      <w:tr w:rsidR="00B342B0" w:rsidTr="00A8516B">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të moshuarve që trajtohen në qendrat ditore komunitare dhe rezidenciale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Default="00B342B0" w:rsidP="00A8516B">
            <w:r w:rsidRPr="006F0161">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B342B0" w:rsidRPr="006F0161" w:rsidRDefault="00B342B0" w:rsidP="00A8516B">
            <w:r w:rsidRPr="006F0161">
              <w:t>Numri total i të moshuarve që trajtohen në qendrat ditore komunitare dhe rezidenciale</w:t>
            </w:r>
          </w:p>
        </w:tc>
      </w:tr>
    </w:tbl>
    <w:p w:rsidR="00EF701A" w:rsidRPr="00F300AB" w:rsidRDefault="00EF701A" w:rsidP="00BA3795">
      <w:pPr>
        <w:rPr>
          <w:rFonts w:cs="Times New Roman"/>
        </w:rPr>
      </w:pPr>
    </w:p>
    <w:p w:rsidR="005E2FD9" w:rsidRPr="00F53B80" w:rsidRDefault="005E2FD9" w:rsidP="005E2FD9">
      <w:pPr>
        <w:rPr>
          <w:rFonts w:cs="Times New Roman"/>
          <w:b/>
        </w:rPr>
      </w:pPr>
      <w:r>
        <w:rPr>
          <w:rFonts w:cs="Times New Roman"/>
          <w:b/>
        </w:rPr>
        <w:t>Shënim:</w:t>
      </w:r>
      <w:r w:rsidRPr="00F53B80">
        <w:rPr>
          <w:rFonts w:cs="Times New Roman"/>
          <w:b/>
        </w:rPr>
        <w:t>Fondi Social ne lekë ne total.</w:t>
      </w:r>
    </w:p>
    <w:p w:rsidR="005E2FD9" w:rsidRPr="00FD18BB" w:rsidRDefault="005E2FD9" w:rsidP="005E2FD9">
      <w:pPr>
        <w:tabs>
          <w:tab w:val="left" w:pos="0"/>
          <w:tab w:val="left" w:pos="990"/>
        </w:tabs>
        <w:spacing w:after="0"/>
        <w:ind w:right="40"/>
        <w:rPr>
          <w:rFonts w:eastAsia="Times New Roman" w:cs="Times New Roman"/>
        </w:rPr>
      </w:pPr>
      <w:r w:rsidRPr="009607BB">
        <w:rPr>
          <w:rFonts w:eastAsia="Times New Roman" w:cs="Times New Roman"/>
        </w:rPr>
        <w:t>Për periudhën  2023-2025 Bashkia Roskovec  është përfituese e Fondit Social duke zbatuar projektin” Një vakt për pensionistët e vetmuar” të ndara sipas viteve përkatëse  si më poshtë:</w:t>
      </w:r>
    </w:p>
    <w:p w:rsidR="005E2FD9" w:rsidRPr="009607BB" w:rsidRDefault="005E2FD9" w:rsidP="005E2FD9">
      <w:pPr>
        <w:tabs>
          <w:tab w:val="left" w:pos="0"/>
          <w:tab w:val="left" w:pos="990"/>
        </w:tabs>
        <w:spacing w:after="0"/>
        <w:ind w:right="40"/>
        <w:rPr>
          <w:rFonts w:eastAsia="Times New Roman" w:cs="Times New Roman"/>
        </w:rPr>
      </w:pPr>
      <w:r w:rsidRPr="009607BB">
        <w:rPr>
          <w:rFonts w:eastAsia="Times New Roman" w:cs="Times New Roman"/>
        </w:rPr>
        <w:t xml:space="preserve">Viti 2023-1.156.000 lekë </w:t>
      </w:r>
    </w:p>
    <w:p w:rsidR="005E2FD9" w:rsidRPr="009607BB" w:rsidRDefault="005E2FD9" w:rsidP="005E2FD9">
      <w:pPr>
        <w:tabs>
          <w:tab w:val="left" w:pos="0"/>
          <w:tab w:val="left" w:pos="990"/>
        </w:tabs>
        <w:spacing w:after="0"/>
        <w:ind w:right="40"/>
        <w:rPr>
          <w:rFonts w:eastAsia="Times New Roman" w:cs="Times New Roman"/>
        </w:rPr>
      </w:pPr>
      <w:r w:rsidRPr="009607BB">
        <w:rPr>
          <w:rFonts w:eastAsia="Times New Roman" w:cs="Times New Roman"/>
        </w:rPr>
        <w:t>Viti 2024-1.023.000lekë</w:t>
      </w:r>
    </w:p>
    <w:p w:rsidR="005E2FD9" w:rsidRPr="00FD18BB" w:rsidRDefault="005E2FD9" w:rsidP="005E2FD9">
      <w:pPr>
        <w:tabs>
          <w:tab w:val="left" w:pos="0"/>
          <w:tab w:val="left" w:pos="990"/>
        </w:tabs>
        <w:spacing w:after="0"/>
        <w:ind w:right="40"/>
        <w:rPr>
          <w:rFonts w:eastAsia="Times New Roman" w:cs="Times New Roman"/>
        </w:rPr>
      </w:pPr>
      <w:r w:rsidRPr="009607BB">
        <w:rPr>
          <w:rFonts w:eastAsia="Times New Roman" w:cs="Times New Roman"/>
        </w:rPr>
        <w:t>Viti 2025-1.023.000 lekë</w:t>
      </w:r>
    </w:p>
    <w:p w:rsidR="005E2FD9" w:rsidRDefault="005E2FD9" w:rsidP="005E2FD9">
      <w:pPr>
        <w:tabs>
          <w:tab w:val="left" w:pos="0"/>
          <w:tab w:val="left" w:pos="990"/>
        </w:tabs>
        <w:spacing w:after="0"/>
        <w:ind w:right="40"/>
        <w:rPr>
          <w:rFonts w:eastAsia="Times New Roman" w:cs="Times New Roman"/>
          <w:lang w:val="sq-AL"/>
        </w:rPr>
      </w:pPr>
      <w:r w:rsidRPr="009607BB">
        <w:rPr>
          <w:rFonts w:eastAsia="Times New Roman" w:cs="Times New Roman"/>
        </w:rPr>
        <w:t>Bashkia Roskovec ofron një vakt ushqimor (drekë) e cila shërbehet  në formë kateringu  për 25 ( njëzet e pesë ) pensionistë të vetmuar.</w:t>
      </w:r>
      <w:r w:rsidRPr="00DA6989">
        <w:rPr>
          <w:rFonts w:eastAsia="Times New Roman" w:cs="Times New Roman"/>
          <w:lang w:val="sq-AL"/>
        </w:rPr>
        <w:t xml:space="preserve"> </w:t>
      </w:r>
    </w:p>
    <w:p w:rsidR="005E2FD9" w:rsidRPr="009607BB" w:rsidRDefault="005E2FD9" w:rsidP="005E2FD9">
      <w:pPr>
        <w:tabs>
          <w:tab w:val="left" w:pos="0"/>
          <w:tab w:val="left" w:pos="990"/>
        </w:tabs>
        <w:spacing w:after="0"/>
        <w:ind w:right="40"/>
        <w:rPr>
          <w:rFonts w:eastAsia="Times New Roman" w:cs="Times New Roman"/>
          <w:lang w:val="sq-AL"/>
        </w:rPr>
      </w:pPr>
      <w:r w:rsidRPr="009607BB">
        <w:rPr>
          <w:rFonts w:eastAsia="Times New Roman" w:cs="Times New Roman"/>
          <w:lang w:val="sq-AL"/>
        </w:rPr>
        <w:t>Viti i pare i financimit për vitin 2023 Bashkia Roskovec ka shfrytëzuar 41% të fondit.</w:t>
      </w:r>
    </w:p>
    <w:p w:rsidR="005E2FD9" w:rsidRPr="009607BB" w:rsidRDefault="005E2FD9" w:rsidP="005E2FD9">
      <w:pPr>
        <w:tabs>
          <w:tab w:val="left" w:pos="0"/>
          <w:tab w:val="left" w:pos="990"/>
        </w:tabs>
        <w:spacing w:after="0"/>
        <w:ind w:right="40"/>
        <w:rPr>
          <w:rFonts w:eastAsia="Times New Roman" w:cs="Times New Roman"/>
          <w:lang w:val="sq-AL"/>
        </w:rPr>
      </w:pPr>
      <w:r>
        <w:rPr>
          <w:rFonts w:eastAsia="Times New Roman" w:cs="Times New Roman"/>
          <w:lang w:val="sq-AL"/>
        </w:rPr>
        <w:lastRenderedPageBreak/>
        <w:t xml:space="preserve">Viti i dyte </w:t>
      </w:r>
      <w:r w:rsidRPr="009607BB">
        <w:rPr>
          <w:rFonts w:eastAsia="Times New Roman" w:cs="Times New Roman"/>
          <w:lang w:val="sq-AL"/>
        </w:rPr>
        <w:t xml:space="preserve"> 2024 Bashkia Roskovec ka shfrytëzuar 0% të fondit për shkak se nuk u gjet operatori ekonomik sipas procedurave të prokurimit dhe për këtë shkak u anullua.</w:t>
      </w:r>
    </w:p>
    <w:p w:rsidR="005E2FD9" w:rsidRDefault="005E2FD9" w:rsidP="005E2FD9">
      <w:pPr>
        <w:tabs>
          <w:tab w:val="left" w:pos="0"/>
          <w:tab w:val="left" w:pos="990"/>
        </w:tabs>
        <w:spacing w:after="0"/>
        <w:ind w:right="40"/>
        <w:rPr>
          <w:rFonts w:cs="Times New Roman"/>
        </w:rPr>
      </w:pPr>
      <w:r w:rsidRPr="009607BB">
        <w:rPr>
          <w:rFonts w:eastAsia="Times New Roman" w:cs="Times New Roman"/>
          <w:lang w:val="sq-AL"/>
        </w:rPr>
        <w:t>Vi</w:t>
      </w:r>
      <w:r>
        <w:rPr>
          <w:rFonts w:eastAsia="Times New Roman" w:cs="Times New Roman"/>
          <w:lang w:val="sq-AL"/>
        </w:rPr>
        <w:t xml:space="preserve">ti i trete 2025 </w:t>
      </w:r>
      <w:r w:rsidRPr="009607BB">
        <w:rPr>
          <w:rFonts w:eastAsia="Times New Roman" w:cs="Times New Roman"/>
          <w:lang w:val="sq-AL"/>
        </w:rPr>
        <w:t>deri me tani është shfrytezuar 60% të fondit social</w:t>
      </w:r>
      <w:r>
        <w:rPr>
          <w:rFonts w:eastAsia="Times New Roman" w:cs="Times New Roman"/>
          <w:lang w:val="sq-AL"/>
        </w:rPr>
        <w:t>.</w:t>
      </w:r>
      <w:r>
        <w:rPr>
          <w:rFonts w:cs="Times New Roman"/>
        </w:rPr>
        <w:t xml:space="preserve"> </w:t>
      </w:r>
    </w:p>
    <w:p w:rsidR="00EF701A" w:rsidRPr="005E2FD9" w:rsidRDefault="00EF701A" w:rsidP="005E2FD9">
      <w:pPr>
        <w:rPr>
          <w:rFonts w:cs="Times New Roman"/>
        </w:rPr>
        <w:sectPr w:rsidR="00EF701A" w:rsidRPr="005E2FD9"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BA3795">
      <w:pPr>
        <w:pStyle w:val="dataNameStyle"/>
      </w:pPr>
      <w:r>
        <w:t>N</w:t>
      </w:r>
      <w:r w:rsidR="00533960">
        <w:t>umër personash të asistuar me pagesë invaliditeti dhe paaftësie</w:t>
      </w:r>
    </w:p>
    <w:p w:rsidR="00DB2B53" w:rsidRPr="00DB2B53" w:rsidRDefault="00DB2B53" w:rsidP="00DB2B53">
      <w:pPr>
        <w:pStyle w:val="NormalWeb"/>
        <w:divId w:val="1448505579"/>
      </w:pPr>
      <w:r w:rsidRPr="00DB2B53">
        <w:t xml:space="preserve">Të dhënat për numrin e personave të asistuar me pagesë invaliditeti dhe paaftësie në Bashkinë Roskovec tregojnë luhatje gjatë viteve. Në </w:t>
      </w:r>
      <w:r w:rsidRPr="00DB2B53">
        <w:rPr>
          <w:b/>
          <w:bCs/>
        </w:rPr>
        <w:t>2021</w:t>
      </w:r>
      <w:r w:rsidRPr="00DB2B53">
        <w:t xml:space="preserve">, numri i të asistuarve ishte </w:t>
      </w:r>
      <w:r w:rsidRPr="00DB2B53">
        <w:rPr>
          <w:b/>
          <w:bCs/>
        </w:rPr>
        <w:t>936</w:t>
      </w:r>
      <w:r w:rsidRPr="00DB2B53">
        <w:t xml:space="preserve">, duke pësuar një ulje në </w:t>
      </w:r>
      <w:r w:rsidRPr="00DB2B53">
        <w:rPr>
          <w:b/>
          <w:bCs/>
        </w:rPr>
        <w:t>2022</w:t>
      </w:r>
      <w:r w:rsidRPr="00DB2B53">
        <w:t xml:space="preserve"> me vetëm </w:t>
      </w:r>
      <w:r w:rsidRPr="00DB2B53">
        <w:rPr>
          <w:b/>
          <w:bCs/>
        </w:rPr>
        <w:t>891</w:t>
      </w:r>
      <w:r w:rsidRPr="00DB2B53">
        <w:t xml:space="preserve"> persona. Një rritje e konsiderueshme shihet në </w:t>
      </w:r>
      <w:r w:rsidRPr="00DB2B53">
        <w:rPr>
          <w:b/>
          <w:bCs/>
        </w:rPr>
        <w:t>2023</w:t>
      </w:r>
      <w:r w:rsidRPr="00DB2B53">
        <w:t xml:space="preserve">, duke arritur në </w:t>
      </w:r>
      <w:r w:rsidRPr="00DB2B53">
        <w:rPr>
          <w:b/>
          <w:bCs/>
        </w:rPr>
        <w:t>965</w:t>
      </w:r>
      <w:r w:rsidRPr="00DB2B53">
        <w:t xml:space="preserve"> persona të asistuar. Projeksionet për vitet në vijim tregojnë një trend rritës, me </w:t>
      </w:r>
      <w:r w:rsidRPr="00DB2B53">
        <w:rPr>
          <w:b/>
          <w:bCs/>
        </w:rPr>
        <w:t>975</w:t>
      </w:r>
      <w:r w:rsidRPr="00DB2B53">
        <w:t xml:space="preserve"> persona në </w:t>
      </w:r>
      <w:r w:rsidRPr="00DB2B53">
        <w:rPr>
          <w:b/>
          <w:bCs/>
        </w:rPr>
        <w:t>2024</w:t>
      </w:r>
      <w:r w:rsidRPr="00DB2B53">
        <w:t xml:space="preserve"> dhe rritje më tej në </w:t>
      </w:r>
      <w:r w:rsidRPr="00DB2B53">
        <w:rPr>
          <w:b/>
          <w:bCs/>
        </w:rPr>
        <w:t>2025</w:t>
      </w:r>
      <w:r w:rsidRPr="00DB2B53">
        <w:t xml:space="preserve"> me </w:t>
      </w:r>
      <w:r w:rsidRPr="00DB2B53">
        <w:rPr>
          <w:b/>
          <w:bCs/>
        </w:rPr>
        <w:t>990</w:t>
      </w:r>
      <w:r w:rsidRPr="00DB2B53">
        <w:t xml:space="preserve">. Kulmi arrihet në </w:t>
      </w:r>
      <w:r w:rsidRPr="00DB2B53">
        <w:rPr>
          <w:b/>
          <w:bCs/>
        </w:rPr>
        <w:t>2026</w:t>
      </w:r>
      <w:r w:rsidRPr="00DB2B53">
        <w:t xml:space="preserve">, me numrin e individëve të asistuar që arrin në </w:t>
      </w:r>
      <w:r w:rsidRPr="00DB2B53">
        <w:rPr>
          <w:b/>
          <w:bCs/>
        </w:rPr>
        <w:t>1000</w:t>
      </w:r>
      <w:r w:rsidRPr="00DB2B53">
        <w:t>. Këto të dhëna sugjerojnë një nevojë në rritje për shërbime mbështetëse në komunitetin e Roskovecit. Rritja e numrit të personave që kërkojnë ndihmë tregon rëndësinë e politikave sociale efektive. Përballja me nevojat e kësaj popullate është kritike për të siguruar mirëqenie dhe mbështetje të qëndrueshme. Këto të dhëna janë thelbësore për planifikimin buxhetor dhe shpërndarjen e resurseve sociale në bashkinë përkatëse.</w:t>
      </w:r>
    </w:p>
    <w:p w:rsidR="00DB2B53" w:rsidRDefault="00DB2B53">
      <w:pPr>
        <w:pStyle w:val="NormalWeb"/>
        <w:divId w:val="1448505579"/>
      </w:pPr>
    </w:p>
    <w:p w:rsidR="00EF701A" w:rsidRDefault="00EF701A" w:rsidP="00BA3795"/>
    <w:p w:rsidR="00EF701A" w:rsidRDefault="00BA3795" w:rsidP="00BA3795">
      <w:r>
        <w:rPr>
          <w:noProof/>
        </w:rPr>
        <w:drawing>
          <wp:inline distT="0" distB="0" distL="0" distR="0" wp14:anchorId="460F0937" wp14:editId="49E14A3D">
            <wp:extent cx="5486400" cy="3200400"/>
            <wp:effectExtent l="0" t="0" r="0" b="0"/>
            <wp:docPr id="687073087" name="Chart 6870730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F701A" w:rsidRDefault="00EF701A" w:rsidP="00BA3795"/>
    <w:p w:rsidR="00EF701A" w:rsidRDefault="00BA3795" w:rsidP="00DB2B53">
      <w:pPr>
        <w:pStyle w:val="sherbimiemristyle"/>
        <w:jc w:val="left"/>
      </w:pPr>
      <w:bookmarkStart w:id="38" w:name="_Toc210053354"/>
      <w:r>
        <w:lastRenderedPageBreak/>
        <w:t>Strehimi social</w:t>
      </w:r>
      <w:bookmarkEnd w:id="38"/>
    </w:p>
    <w:p w:rsidR="00EF701A" w:rsidRDefault="00EF701A">
      <w:pPr>
        <w:rPr>
          <w:color w:val="0A2F41" w:themeColor="accent1" w:themeShade="80"/>
        </w:rPr>
      </w:pPr>
    </w:p>
    <w:p w:rsidR="00EF701A" w:rsidRDefault="00BA3795" w:rsidP="00BA3795">
      <w:pPr>
        <w:pStyle w:val="paragraphstyle"/>
      </w:pPr>
      <w:r>
        <w:t>Shërbimi konsiston në ofrimin e përfitimeve në natyrë dhe në para për familjet dhe individët në nevojë, me qëllim ndihmën për të përballuar kostot e strehimit dhe për të ulur varfërinë. Ai përfshin ndërtimin dhe administrimin e banesave për strehimin social sipas ligjit, pagesa të përkohshme ose afatgjata për qiramarrësit, si dhe administrimin e çështjeve dhe shërbimeve të strehimit. Gjithashtu, përfshin promovimin, monitorimin dhe vlerësimin e veprimtarive për zhvillimin e strehimit dhe ofrimin e mbështetjes financiare për grupet më vulnerabël për të lehtësuar situatat e vështira ekonomike.</w:t>
      </w:r>
    </w:p>
    <w:p w:rsidR="00EF701A" w:rsidRDefault="00BA3795" w:rsidP="00BA3795">
      <w:pPr>
        <w:pStyle w:val="paragraphstyle"/>
        <w:sectPr w:rsidR="00EF701A" w:rsidSect="00BA3795">
          <w:headerReference w:type="even" r:id="rId79"/>
          <w:footerReference w:type="even" r:id="rId80"/>
          <w:footerReference w:type="default" r:id="rId81"/>
          <w:headerReference w:type="first" r:id="rId82"/>
          <w:footerReference w:type="first" r:id="rId83"/>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92032" behindDoc="0" locked="0" layoutInCell="1" allowOverlap="1" wp14:anchorId="62E9D608" wp14:editId="3FC4E2DF">
                <wp:simplePos x="0" y="0"/>
                <wp:positionH relativeFrom="margin">
                  <wp:align>right</wp:align>
                </wp:positionH>
                <wp:positionV relativeFrom="paragraph">
                  <wp:posOffset>445135</wp:posOffset>
                </wp:positionV>
                <wp:extent cx="5925185" cy="3346450"/>
                <wp:effectExtent l="0" t="0" r="0" b="6350"/>
                <wp:wrapSquare wrapText="bothSides"/>
                <wp:docPr id="144748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51835277" wp14:editId="35FF6DAE">
                                  <wp:extent cx="5730000" cy="3260000"/>
                                  <wp:effectExtent l="0" t="0" r="0" b="0"/>
                                  <wp:docPr id="36941094" name="Picture 3694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4"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9D608" id="_x0000_s1037" type="#_x0000_t202" style="position:absolute;left:0;text-align:left;margin-left:415.35pt;margin-top:35.05pt;width:466.55pt;height:263.5pt;z-index:251692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" filled="f" stroked="f">
                <v:textbox>
                  <w:txbxContent>
                    <w:p w:rsidR="00A8516B" w:rsidRDefault="00A8516B" w:rsidP="00BA3795">
                      <w:r>
                        <w:rPr>
                          <w:noProof/>
                        </w:rPr>
                        <w:drawing>
                          <wp:inline distT="0" distB="0" distL="0" distR="0" wp14:anchorId="51835277" wp14:editId="35FF6DAE">
                            <wp:extent cx="5730000" cy="3260000"/>
                            <wp:effectExtent l="0" t="0" r="0" b="0"/>
                            <wp:docPr id="36941094" name="Picture 3694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4"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586"/>
        <w:gridCol w:w="1394"/>
        <w:gridCol w:w="1394"/>
        <w:gridCol w:w="1394"/>
        <w:gridCol w:w="1394"/>
        <w:gridCol w:w="1394"/>
        <w:gridCol w:w="1394"/>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Banesa sociale të reja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Default="00BA3795" w:rsidP="00DB2B53">
      <w:pPr>
        <w:pStyle w:val="sherbimiemristyle"/>
        <w:jc w:val="left"/>
      </w:pPr>
      <w:bookmarkStart w:id="39" w:name="_Toc210053355"/>
      <w:r>
        <w:lastRenderedPageBreak/>
        <w:t>Furnizimi me Ujë dhe Kanalizime</w:t>
      </w:r>
      <w:bookmarkEnd w:id="39"/>
    </w:p>
    <w:p w:rsidR="00EF701A" w:rsidRDefault="00EF701A">
      <w:pPr>
        <w:rPr>
          <w:color w:val="0A2F41" w:themeColor="accent1" w:themeShade="80"/>
        </w:rPr>
      </w:pPr>
    </w:p>
    <w:p w:rsidR="00EF701A" w:rsidRDefault="00BA3795" w:rsidP="00BA3795">
      <w:pPr>
        <w:pStyle w:val="paragraphstyle"/>
      </w:pPr>
      <w:r>
        <w:t>Bashkia është përgjegjëse për administrimin e problemeve të furnizimit me ujë; mbikëqyrjen dhe disiplinimin e problemeve të furnizimit me ujë, duke përfshirë pastërtinë e ujit, çmimin dhe kontrollet e sasisë; ngritjen ose vënien në funksionim e kapaciteteve të zgjeruara në shërbimin lokal të furnimizmit me ujë; prodhimin dhe shpërndarjen e informacionit publik, dokumentacionit teknik dhe statistikave për çështjet dhe shërbimet e furnizimit me ujë; administrimin e granteve, huave ose financimeve për të mbështetur ndërtimin, mirëmbajtjen ose përmirësimin e sistemeve të furnizimit me ujë.</w:t>
      </w:r>
    </w:p>
    <w:p w:rsidR="00EF701A" w:rsidRDefault="00EF701A" w:rsidP="00BA3795">
      <w:pPr>
        <w:pStyle w:val="paragraphstyle"/>
      </w:pPr>
    </w:p>
    <w:p w:rsidR="00EF701A" w:rsidRDefault="00BA3795" w:rsidP="00BA3795">
      <w:pPr>
        <w:pStyle w:val="paragraphstyle"/>
        <w:sectPr w:rsidR="00EF701A" w:rsidSect="00BA3795">
          <w:headerReference w:type="even" r:id="rId85"/>
          <w:footerReference w:type="even" r:id="rId86"/>
          <w:footerReference w:type="default" r:id="rId87"/>
          <w:headerReference w:type="first" r:id="rId88"/>
          <w:footerReference w:type="first" r:id="rId89"/>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94080" behindDoc="0" locked="0" layoutInCell="1" allowOverlap="1" wp14:anchorId="7F406969" wp14:editId="6518F0A1">
                <wp:simplePos x="0" y="0"/>
                <wp:positionH relativeFrom="margin">
                  <wp:align>right</wp:align>
                </wp:positionH>
                <wp:positionV relativeFrom="paragraph">
                  <wp:posOffset>445135</wp:posOffset>
                </wp:positionV>
                <wp:extent cx="5925185" cy="3346450"/>
                <wp:effectExtent l="0" t="0" r="0" b="6350"/>
                <wp:wrapSquare wrapText="bothSides"/>
                <wp:docPr id="969960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231F8CDF" wp14:editId="0C6C06A1">
                                  <wp:extent cx="5730000" cy="3260000"/>
                                  <wp:effectExtent l="0" t="0" r="0" b="0"/>
                                  <wp:docPr id="918513443" name="Picture 9185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0"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06969" id="_x0000_s1038" type="#_x0000_t202" style="position:absolute;left:0;text-align:left;margin-left:415.35pt;margin-top:35.05pt;width:466.55pt;height:263.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D1T+eT&#10;SwIAANc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231F8CDF" wp14:editId="0C6C06A1">
                            <wp:extent cx="5730000" cy="3260000"/>
                            <wp:effectExtent l="0" t="0" r="0" b="0"/>
                            <wp:docPr id="918513443" name="Picture 9185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0"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4231"/>
        <w:gridCol w:w="4183"/>
        <w:gridCol w:w="756"/>
        <w:gridCol w:w="756"/>
        <w:gridCol w:w="756"/>
        <w:gridCol w:w="756"/>
        <w:gridCol w:w="75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mbulimit me shërbimin e ujit të pijshëm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Mbulimi i popullsisë me shërbimin e ujit të pijshëm (kundrejt popullsisë totale të bashkisë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35.29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36.69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39.16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43.24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shërbimit të menaxhimit të ujërave të zeza dhe kanalizimeve (shërbime sanitare)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Popullësia e mbuluar me shërbime sanitare kundrejt popullësisë totale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28.06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24.49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25.59</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p w:rsidR="00EF701A" w:rsidRDefault="00BA3795" w:rsidP="00BA3795">
      <w:pPr>
        <w:pStyle w:val="indicatorNameStyle"/>
        <w:numPr>
          <w:ilvl w:val="0"/>
          <w:numId w:val="3"/>
        </w:numPr>
      </w:pPr>
      <w:r>
        <w:t>Rritja e mbulimit me shërbimin e ujit të pijshëm</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Mbulimi i popullsisë me shërbimin e ujit të pijshëm (kundrejt popullsisë totale të bashkisë në %)</w:t>
            </w:r>
          </w:p>
        </w:tc>
      </w:tr>
    </w:tbl>
    <w:p w:rsidR="00EF701A" w:rsidRDefault="00BA3795">
      <w:pPr>
        <w:pStyle w:val="NormalWeb"/>
        <w:divId w:val="516817133"/>
      </w:pPr>
      <w:r>
        <w:t xml:space="preserve">Të dhënat për mbulimin e popullsisë me shërbimin e ujit të pijshëm në Bashkinë Roskovec tregojnë një rritje progresive gjatë periudhës 2021-2026. Në vitin </w:t>
      </w:r>
      <w:r>
        <w:rPr>
          <w:rStyle w:val="Strong"/>
          <w:rFonts w:eastAsiaTheme="majorEastAsia"/>
        </w:rPr>
        <w:t>2021</w:t>
      </w:r>
      <w:r>
        <w:t xml:space="preserve">, mbulimi ishte </w:t>
      </w:r>
      <w:r>
        <w:rPr>
          <w:rStyle w:val="Strong"/>
          <w:rFonts w:eastAsiaTheme="majorEastAsia"/>
        </w:rPr>
        <w:t>35.29%</w:t>
      </w:r>
      <w:r>
        <w:t xml:space="preserve">, duke u rritur në </w:t>
      </w:r>
      <w:r>
        <w:rPr>
          <w:rStyle w:val="Strong"/>
          <w:rFonts w:eastAsiaTheme="majorEastAsia"/>
        </w:rPr>
        <w:t>36.69%</w:t>
      </w:r>
      <w:r>
        <w:t xml:space="preserve"> në vitin </w:t>
      </w:r>
      <w:r>
        <w:rPr>
          <w:rStyle w:val="Strong"/>
          <w:rFonts w:eastAsiaTheme="majorEastAsia"/>
        </w:rPr>
        <w:t>2022</w:t>
      </w:r>
      <w:r>
        <w:t xml:space="preserve">. Në </w:t>
      </w:r>
      <w:r>
        <w:rPr>
          <w:rStyle w:val="Strong"/>
          <w:rFonts w:eastAsiaTheme="majorEastAsia"/>
        </w:rPr>
        <w:t>2023</w:t>
      </w:r>
      <w:r>
        <w:t xml:space="preserve">, ky tregues arriti në </w:t>
      </w:r>
      <w:r>
        <w:rPr>
          <w:rStyle w:val="Strong"/>
          <w:rFonts w:eastAsiaTheme="majorEastAsia"/>
        </w:rPr>
        <w:t>37.3%</w:t>
      </w:r>
      <w:r>
        <w:t xml:space="preserve">, tregues i një rritjeje të moderuar por të vazhdueshme. Viti </w:t>
      </w:r>
      <w:r>
        <w:rPr>
          <w:rStyle w:val="Strong"/>
          <w:rFonts w:eastAsiaTheme="majorEastAsia"/>
        </w:rPr>
        <w:t>2024</w:t>
      </w:r>
      <w:r>
        <w:t xml:space="preserve"> shënoi një përmirësim të mëtejshëm, duke arritur në </w:t>
      </w:r>
      <w:r>
        <w:rPr>
          <w:rStyle w:val="Strong"/>
          <w:rFonts w:eastAsiaTheme="majorEastAsia"/>
        </w:rPr>
        <w:t>39.16%</w:t>
      </w:r>
      <w:r>
        <w:t xml:space="preserve">. Rritja kulmoi në vitin </w:t>
      </w:r>
      <w:r>
        <w:rPr>
          <w:rStyle w:val="Strong"/>
          <w:rFonts w:eastAsiaTheme="majorEastAsia"/>
        </w:rPr>
        <w:t>2025</w:t>
      </w:r>
      <w:r>
        <w:t xml:space="preserve"> kur mbulimi me shërbim u rrit në </w:t>
      </w:r>
      <w:r>
        <w:rPr>
          <w:rStyle w:val="Strong"/>
          <w:rFonts w:eastAsiaTheme="majorEastAsia"/>
        </w:rPr>
        <w:t>41.76%</w:t>
      </w:r>
      <w:r>
        <w:t xml:space="preserve">. Trendet pozitive vazhduan edhe më tej në </w:t>
      </w:r>
      <w:r>
        <w:rPr>
          <w:rStyle w:val="Strong"/>
          <w:rFonts w:eastAsiaTheme="majorEastAsia"/>
        </w:rPr>
        <w:t>2026</w:t>
      </w:r>
      <w:r>
        <w:t xml:space="preserve">, me mbulimin që arriti në </w:t>
      </w:r>
      <w:r>
        <w:rPr>
          <w:rStyle w:val="Strong"/>
          <w:rFonts w:eastAsiaTheme="majorEastAsia"/>
        </w:rPr>
        <w:t>43.24%</w:t>
      </w:r>
      <w:r>
        <w:t>. Këto të dhëna sugjerojnë një përpjekje të qartë për përmirësimin e infrastrukturës së ujit të pijshëm në këtë bashki. Mbulimi i popullsisë me ujë të pijshëm është një tregues kritik për standardet e jetesës dhe zhvillimin shoqëror. Pavarësisht se rritja nuk është drastike çdo vit, ajo është e qëndrueshme. Kjo tregon angazhimin e Bashkisë Roskovec për të përmirësuar cilësinë e jetës së qytetarëve të saj.</w:t>
      </w:r>
    </w:p>
    <w:p w:rsidR="00EF701A" w:rsidRDefault="00EF701A" w:rsidP="00BA3795"/>
    <w:p w:rsidR="00EF701A" w:rsidRDefault="00BA3795">
      <w:r>
        <w:rPr>
          <w:noProof/>
        </w:rPr>
        <w:drawing>
          <wp:inline distT="0" distB="0" distL="0" distR="0" wp14:anchorId="08D44AB3" wp14:editId="53427251">
            <wp:extent cx="5486400" cy="3200400"/>
            <wp:effectExtent l="0" t="0" r="0" b="0"/>
            <wp:docPr id="1413885508" name="Chart 1413885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F701A" w:rsidRDefault="00EF701A" w:rsidP="00BA3795"/>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894"/>
        <w:gridCol w:w="1176"/>
        <w:gridCol w:w="1176"/>
        <w:gridCol w:w="1176"/>
        <w:gridCol w:w="1176"/>
        <w:gridCol w:w="1176"/>
        <w:gridCol w:w="117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Humbjet ne rrjet (ne m3)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621222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Prodhimi i ujit të pijshem (në m3)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931990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947845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lidhjeve te ujit te pijshem (kontrata totale me uk)</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3490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Siperfaqja e bashkise e mbuluar me sherbimin e ujit te pijshem (ne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familjeve me matësa uji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3004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familjeve të lidhur me impiantet e trajtimit të ujrave të ndotura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2577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familjeve në territorin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Shuma totale e faturuar për shërbimin e kanalizimeve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6395748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6533269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2029343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ardhurat nga tarifa e shërbimit të kanalizimeve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1656250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1663650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558850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gjithësej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për shërbimin e ujit të pijshëm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37324065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39225448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37264176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35400000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33600000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33600000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Kosto totale për shërbimin e ujit të pijshëm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63062051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65621134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58000000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55000000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Buxheti për shërbimin e menaxhimit të ujërave të zeza dhe impiantet e përpunimit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8640556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9056290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9170352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9450000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9730000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9850000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Shpenzimet per energjine per uk (ne mije leke)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11375380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10959171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7756732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punonjesve te uk</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Popullata që përfiton nga shërbimi me ujë të pijshëm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12473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12681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13315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14200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14700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për shërbimin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Popullësia e mbulluar me shërbimin e ujërave të zeza dhe kanalizime (shërbime sanitare)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7929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8325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8700</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DB2B53">
      <w:pPr>
        <w:pStyle w:val="dataNameStyle"/>
      </w:pPr>
      <w:r>
        <w:t>Shpenzime për shërbimin e ujit të pijshëm (në lekë)</w:t>
      </w:r>
    </w:p>
    <w:p w:rsidR="00EF701A" w:rsidRDefault="00BA3795">
      <w:pPr>
        <w:pStyle w:val="NormalWeb"/>
        <w:divId w:val="993292857"/>
      </w:pPr>
      <w:r>
        <w:t xml:space="preserve">Përdorimi i fondeve për shërbimin e ujit të pijshëm në bashkinë Roskovec ka shfaqur luhatje në vitet e analizuara. Në </w:t>
      </w:r>
      <w:r>
        <w:rPr>
          <w:rStyle w:val="Strong"/>
          <w:rFonts w:eastAsiaTheme="majorEastAsia"/>
        </w:rPr>
        <w:t>2021</w:t>
      </w:r>
      <w:r>
        <w:t xml:space="preserve">, shpenzimet ishin </w:t>
      </w:r>
      <w:r>
        <w:rPr>
          <w:rStyle w:val="Strong"/>
          <w:rFonts w:eastAsiaTheme="majorEastAsia"/>
        </w:rPr>
        <w:t>37,324,065</w:t>
      </w:r>
      <w:r>
        <w:t xml:space="preserve"> lekë, duke filluar kështu një trend rritës. Në </w:t>
      </w:r>
      <w:r>
        <w:rPr>
          <w:rStyle w:val="Strong"/>
          <w:rFonts w:eastAsiaTheme="majorEastAsia"/>
        </w:rPr>
        <w:t>2022</w:t>
      </w:r>
      <w:r>
        <w:t xml:space="preserve">, këto shpenzime u rritën në </w:t>
      </w:r>
      <w:r>
        <w:rPr>
          <w:rStyle w:val="Strong"/>
          <w:rFonts w:eastAsiaTheme="majorEastAsia"/>
        </w:rPr>
        <w:t>39,225,448</w:t>
      </w:r>
      <w:r>
        <w:t xml:space="preserve"> lekë, duke shënuar kulmin më të lartë të kësaj periudhe kohore. Megjithatë, në </w:t>
      </w:r>
      <w:r>
        <w:rPr>
          <w:rStyle w:val="Strong"/>
          <w:rFonts w:eastAsiaTheme="majorEastAsia"/>
        </w:rPr>
        <w:t>2023</w:t>
      </w:r>
      <w:r>
        <w:t xml:space="preserve">, shpenzimet u ulën në </w:t>
      </w:r>
      <w:r>
        <w:rPr>
          <w:rStyle w:val="Strong"/>
          <w:rFonts w:eastAsiaTheme="majorEastAsia"/>
        </w:rPr>
        <w:t>37,264,176</w:t>
      </w:r>
      <w:r>
        <w:t xml:space="preserve"> lekë, duke treguar një rënie të lehtë pas arrtitjes së kulmit. Në </w:t>
      </w:r>
      <w:r>
        <w:rPr>
          <w:rStyle w:val="Strong"/>
          <w:rFonts w:eastAsiaTheme="majorEastAsia"/>
        </w:rPr>
        <w:t>2024</w:t>
      </w:r>
      <w:r>
        <w:t xml:space="preserve">, shpenzimet pësuan ulje më tej, duke u shfaqur në </w:t>
      </w:r>
      <w:r>
        <w:rPr>
          <w:rStyle w:val="Strong"/>
          <w:rFonts w:eastAsiaTheme="majorEastAsia"/>
        </w:rPr>
        <w:t>35,400,000</w:t>
      </w:r>
      <w:r>
        <w:t xml:space="preserve"> lekë. Në </w:t>
      </w:r>
      <w:r>
        <w:rPr>
          <w:rStyle w:val="Strong"/>
          <w:rFonts w:eastAsiaTheme="majorEastAsia"/>
        </w:rPr>
        <w:t>2025</w:t>
      </w:r>
      <w:r>
        <w:t xml:space="preserve">, tendenca e uljes vazhdoi me shpenzime prej </w:t>
      </w:r>
      <w:r>
        <w:rPr>
          <w:rStyle w:val="Strong"/>
          <w:rFonts w:eastAsiaTheme="majorEastAsia"/>
        </w:rPr>
        <w:t>33,600,000</w:t>
      </w:r>
      <w:r>
        <w:t xml:space="preserve"> lekë. Shifra e </w:t>
      </w:r>
      <w:r>
        <w:rPr>
          <w:rStyle w:val="Strong"/>
          <w:rFonts w:eastAsiaTheme="majorEastAsia"/>
        </w:rPr>
        <w:t>2026</w:t>
      </w:r>
      <w:r>
        <w:t xml:space="preserve"> mbeti e njëjtë me atë të vitit paraprak, në </w:t>
      </w:r>
      <w:r>
        <w:rPr>
          <w:rStyle w:val="Strong"/>
          <w:rFonts w:eastAsiaTheme="majorEastAsia"/>
        </w:rPr>
        <w:t>33,600,000</w:t>
      </w:r>
      <w:r>
        <w:t xml:space="preserve"> lekë, duke treguar një stabilitet në shpenzimet për këtë vit. Në përgjithësi, megjithëse viti </w:t>
      </w:r>
      <w:r>
        <w:rPr>
          <w:rStyle w:val="Strong"/>
          <w:rFonts w:eastAsiaTheme="majorEastAsia"/>
        </w:rPr>
        <w:t>2022</w:t>
      </w:r>
      <w:r>
        <w:t xml:space="preserve"> shënoi shpenzimet më të larta, periudha pasuese tregon një trend zvogëlues të shpenzimeve për ujë të pijshëm në këtë bashki. Ky informacion është i rëndësishëm për analizimin e politikave të menaxhimit të fondeve dhe planifikimin për përmirësime të mundshme në infrastrukturën e ujësjellësit.</w:t>
      </w:r>
    </w:p>
    <w:p w:rsidR="00EF701A" w:rsidRDefault="00EF701A" w:rsidP="00BA3795"/>
    <w:p w:rsidR="00EF701A" w:rsidRDefault="00BA3795" w:rsidP="00BA3795">
      <w:r>
        <w:rPr>
          <w:noProof/>
        </w:rPr>
        <w:drawing>
          <wp:inline distT="0" distB="0" distL="0" distR="0" wp14:anchorId="37287D98" wp14:editId="276706D6">
            <wp:extent cx="5486400" cy="3200400"/>
            <wp:effectExtent l="0" t="0" r="0" b="0"/>
            <wp:docPr id="1908264423" name="Chart 1908264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F701A" w:rsidRDefault="00EF701A" w:rsidP="00BA3795"/>
    <w:p w:rsidR="00EF701A" w:rsidRDefault="00BA3795" w:rsidP="00DB2B53">
      <w:pPr>
        <w:pStyle w:val="sherbimiemristyle"/>
        <w:jc w:val="left"/>
      </w:pPr>
      <w:bookmarkStart w:id="40" w:name="_Toc210053356"/>
      <w:r>
        <w:lastRenderedPageBreak/>
        <w:t>Shërbimet Publike Vendore</w:t>
      </w:r>
      <w:bookmarkEnd w:id="40"/>
    </w:p>
    <w:p w:rsidR="00EF701A" w:rsidRDefault="00EF701A">
      <w:pPr>
        <w:rPr>
          <w:color w:val="0A2F41" w:themeColor="accent1" w:themeShade="80"/>
        </w:rPr>
      </w:pPr>
    </w:p>
    <w:p w:rsidR="00EF701A" w:rsidRDefault="00BA3795" w:rsidP="00BA3795">
      <w:pPr>
        <w:pStyle w:val="paragraphstyle"/>
      </w:pPr>
      <w:r>
        <w:t>Ky shërbim përfshin planifikimin, përmirësimin dhe zhvillimin e strukturave publike, si hapësirat e rekreacionit, zonat e përbashkëta dhe ato relaksuese për komunitetin. Ai përfshin mbjelljen e luleve, shkurreve dhe pemëve dekorative për të përmirësuar hapësirën e gjelbërt të njësisë, si dhe zëvendësimin e trotuareve të prishura me materiale cilësore për të rritur cilësinë e shërbimeve ndaj qytetarëve.  Për më tepër, shërbimi mbulon ndërtimin, rehabilitimin dhe mirëmbajtjen e varrezave publike, si dhe menaxhimin e parqeve, lulishtave dhe hapësirave të gjelbra publike. Ai përfshin gjithashtu ofrimin e të gjitha shërbimeve të tjera publike sipas specifikimeve dhe nevojave të çdo njësie të vetëqeverisjes vendore.</w:t>
      </w:r>
    </w:p>
    <w:p w:rsidR="00EF701A" w:rsidRDefault="00EF701A" w:rsidP="00BA3795">
      <w:pPr>
        <w:pStyle w:val="paragraphstyle"/>
      </w:pPr>
    </w:p>
    <w:p w:rsidR="00EF701A" w:rsidRDefault="00BA3795" w:rsidP="00BA3795">
      <w:pPr>
        <w:pStyle w:val="paragraphstyle"/>
        <w:sectPr w:rsidR="00EF701A" w:rsidSect="00BA3795">
          <w:headerReference w:type="even" r:id="rId93"/>
          <w:footerReference w:type="even" r:id="rId94"/>
          <w:footerReference w:type="default" r:id="rId95"/>
          <w:headerReference w:type="first" r:id="rId96"/>
          <w:footerReference w:type="first" r:id="rId97"/>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698176" behindDoc="0" locked="0" layoutInCell="1" allowOverlap="1" wp14:anchorId="345C9618" wp14:editId="5EF6E64B">
                <wp:simplePos x="0" y="0"/>
                <wp:positionH relativeFrom="margin">
                  <wp:align>right</wp:align>
                </wp:positionH>
                <wp:positionV relativeFrom="paragraph">
                  <wp:posOffset>445135</wp:posOffset>
                </wp:positionV>
                <wp:extent cx="5925185" cy="3346450"/>
                <wp:effectExtent l="0" t="0" r="0" b="6350"/>
                <wp:wrapSquare wrapText="bothSides"/>
                <wp:docPr id="755338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574C88E3" wp14:editId="2E2C63AD">
                                  <wp:extent cx="5730000" cy="3260000"/>
                                  <wp:effectExtent l="0" t="0" r="0" b="0"/>
                                  <wp:docPr id="124728840" name="Picture 1247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8"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C9618" id="_x0000_s1039" type="#_x0000_t202" style="position:absolute;left:0;text-align:left;margin-left:415.35pt;margin-top:35.05pt;width:466.55pt;height:263.5pt;z-index:251698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" filled="f" stroked="f">
                <v:textbox>
                  <w:txbxContent>
                    <w:p w:rsidR="00A8516B" w:rsidRDefault="00A8516B" w:rsidP="00BA3795">
                      <w:r>
                        <w:rPr>
                          <w:noProof/>
                        </w:rPr>
                        <w:drawing>
                          <wp:inline distT="0" distB="0" distL="0" distR="0" wp14:anchorId="574C88E3" wp14:editId="2E2C63AD">
                            <wp:extent cx="5730000" cy="3260000"/>
                            <wp:effectExtent l="0" t="0" r="0" b="0"/>
                            <wp:docPr id="124728840" name="Picture 1247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8"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397"/>
        <w:gridCol w:w="3377"/>
        <w:gridCol w:w="1236"/>
        <w:gridCol w:w="1236"/>
        <w:gridCol w:w="1116"/>
        <w:gridCol w:w="1236"/>
        <w:gridCol w:w="1116"/>
        <w:gridCol w:w="123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Mbulimi me hapësira të gjelbërta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i sipërfaqes së gjelbëruar kundrejt popullsisë totale të bashkisë, m2/banor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0.59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0.59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0.79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sistemit të ndriçimit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në të cilën është mirëmbajtur ndriçimi kundrejt sipërfaqes totale të ndriçuar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efiçiencës së buxhetit të bashkisë për shërbimin e ndriçimit publik</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Lekë të shpenzuara për 1 km2 hapësirë publike të ndriçuar / Shpenzime operative dhe mirëmbajtje kundrejt sipërfaqes së mirëmbajtur me ndriçim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632173.91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601258.67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682635.8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164199.87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197533.2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169314.17</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p w:rsidR="00EF701A" w:rsidRDefault="00BA3795" w:rsidP="00BA3795">
      <w:pPr>
        <w:pStyle w:val="indicatorNameStyle"/>
        <w:numPr>
          <w:ilvl w:val="0"/>
          <w:numId w:val="3"/>
        </w:numPr>
      </w:pPr>
      <w:r>
        <w:t>Mbulimi me hapësira të gjelbërta</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Raporti i sipërfaqes së gjelbëruar kundrejt popullsisë totale të bashkisë, m2/banor</w:t>
            </w:r>
          </w:p>
        </w:tc>
      </w:tr>
    </w:tbl>
    <w:p w:rsidR="00EF701A" w:rsidRDefault="00BA3795">
      <w:pPr>
        <w:pStyle w:val="NormalWeb"/>
        <w:divId w:val="517544583"/>
      </w:pPr>
      <w:r>
        <w:t xml:space="preserve">Raporti i sipërfaqes së gjelbëruar kundrejt popullsisë totale në bashkinë Roskovec është një tregues i rëndësishëm për cilësinë e jetës mjedisore. Në </w:t>
      </w:r>
      <w:r>
        <w:rPr>
          <w:rStyle w:val="Strong"/>
          <w:rFonts w:eastAsiaTheme="majorEastAsia"/>
        </w:rPr>
        <w:t>2021</w:t>
      </w:r>
      <w:r>
        <w:t xml:space="preserve">, ky raport ishte </w:t>
      </w:r>
      <w:r>
        <w:rPr>
          <w:rStyle w:val="Strong"/>
          <w:rFonts w:eastAsiaTheme="majorEastAsia"/>
        </w:rPr>
        <w:t>0.5 m²</w:t>
      </w:r>
      <w:r>
        <w:t xml:space="preserve"> për banor, duke treguar një nivel fillestar të sipërfaqeve të gjelbëruara. Në vitin </w:t>
      </w:r>
      <w:r>
        <w:rPr>
          <w:rStyle w:val="Strong"/>
          <w:rFonts w:eastAsiaTheme="majorEastAsia"/>
        </w:rPr>
        <w:t>2022</w:t>
      </w:r>
      <w:r>
        <w:t xml:space="preserve">, ka pasur një rritje të lehtë në </w:t>
      </w:r>
      <w:r>
        <w:rPr>
          <w:rStyle w:val="Strong"/>
          <w:rFonts w:eastAsiaTheme="majorEastAsia"/>
        </w:rPr>
        <w:t>0.59 m²</w:t>
      </w:r>
      <w:r>
        <w:t xml:space="preserve"> për banor, një shenjë e përpjekjeve të hershme për të përmirësuar mjedisin. Vlera mbeti e pandryshuar në </w:t>
      </w:r>
      <w:r>
        <w:rPr>
          <w:rStyle w:val="Strong"/>
          <w:rFonts w:eastAsiaTheme="majorEastAsia"/>
        </w:rPr>
        <w:t>2023</w:t>
      </w:r>
      <w:r>
        <w:t xml:space="preserve"> me </w:t>
      </w:r>
      <w:r>
        <w:rPr>
          <w:rStyle w:val="Strong"/>
          <w:rFonts w:eastAsiaTheme="majorEastAsia"/>
        </w:rPr>
        <w:t>0.59 m²</w:t>
      </w:r>
      <w:r>
        <w:t xml:space="preserve"> për banor. Rritja ka vazhduar në </w:t>
      </w:r>
      <w:r>
        <w:rPr>
          <w:rStyle w:val="Strong"/>
          <w:rFonts w:eastAsiaTheme="majorEastAsia"/>
        </w:rPr>
        <w:t>2024</w:t>
      </w:r>
      <w:r>
        <w:t xml:space="preserve">, ku raporti arriti në </w:t>
      </w:r>
      <w:r>
        <w:rPr>
          <w:rStyle w:val="Strong"/>
          <w:rFonts w:eastAsiaTheme="majorEastAsia"/>
        </w:rPr>
        <w:t>0.65 m²</w:t>
      </w:r>
      <w:r>
        <w:t xml:space="preserve"> për banor, duke reflektuar investime të mëtejshme në hapësira të gjelbëruara. Kjo tendencë pozitive u ruajt edhe në </w:t>
      </w:r>
      <w:r>
        <w:rPr>
          <w:rStyle w:val="Strong"/>
          <w:rFonts w:eastAsiaTheme="majorEastAsia"/>
        </w:rPr>
        <w:t>2025</w:t>
      </w:r>
      <w:r>
        <w:t xml:space="preserve">, me të njëjtën vlerë prej </w:t>
      </w:r>
      <w:r>
        <w:rPr>
          <w:rStyle w:val="Strong"/>
          <w:rFonts w:eastAsiaTheme="majorEastAsia"/>
        </w:rPr>
        <w:t>0.65 m²</w:t>
      </w:r>
      <w:r>
        <w:t xml:space="preserve"> për banor. Projekti për përmirësimin e hapësirave publike duket se ka arritur sukses më të madh në </w:t>
      </w:r>
      <w:r>
        <w:rPr>
          <w:rStyle w:val="Strong"/>
          <w:rFonts w:eastAsiaTheme="majorEastAsia"/>
        </w:rPr>
        <w:t>2026</w:t>
      </w:r>
      <w:r>
        <w:t xml:space="preserve">, me një raport prej </w:t>
      </w:r>
      <w:r>
        <w:rPr>
          <w:rStyle w:val="Strong"/>
          <w:rFonts w:eastAsiaTheme="majorEastAsia"/>
        </w:rPr>
        <w:t>0.79 m²</w:t>
      </w:r>
      <w:r>
        <w:t xml:space="preserve"> për banor. Kjo rritje e qëndrueshme tregon për një angazhim të vazhdueshëm të bashkisë në përmirësimin e kushteve mjedisore. Rezultatet pozitive në këto vite mund të ndikojnë gjithashtu në përmirësimin e mirëqenies së banorëve. Këto investime janë të rëndësishme për të siguruar një mjedis të shëndetshëm dhe të qëndrueshëm në bashkinë Roskovec. Në përmbledhje, nga </w:t>
      </w:r>
      <w:r>
        <w:rPr>
          <w:rStyle w:val="Strong"/>
          <w:rFonts w:eastAsiaTheme="majorEastAsia"/>
        </w:rPr>
        <w:t>2021</w:t>
      </w:r>
      <w:r>
        <w:t xml:space="preserve"> deri në </w:t>
      </w:r>
      <w:r>
        <w:rPr>
          <w:rStyle w:val="Strong"/>
          <w:rFonts w:eastAsiaTheme="majorEastAsia"/>
        </w:rPr>
        <w:t>2026</w:t>
      </w:r>
      <w:r>
        <w:t>, është vënë re një tendencë pozitive në rritjen e sipërfaqes së gjelbëruar për banor, duke arritur një përmirësim të dukshëm të mjedisit jetësor.</w:t>
      </w:r>
    </w:p>
    <w:p w:rsidR="00EF701A" w:rsidRDefault="00EF701A" w:rsidP="00BA3795"/>
    <w:p w:rsidR="00EF701A" w:rsidRDefault="00BA3795">
      <w:r>
        <w:rPr>
          <w:noProof/>
        </w:rPr>
        <w:lastRenderedPageBreak/>
        <w:drawing>
          <wp:inline distT="0" distB="0" distL="0" distR="0" wp14:anchorId="40EDA157" wp14:editId="77535521">
            <wp:extent cx="5486400" cy="3200400"/>
            <wp:effectExtent l="0" t="0" r="0" b="0"/>
            <wp:docPr id="1935062423" name="Chart 1935062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F701A" w:rsidRDefault="00EF701A" w:rsidP="00BA3795"/>
    <w:p w:rsidR="00EF701A" w:rsidRDefault="00EF701A"/>
    <w:p w:rsidR="00EF701A" w:rsidRDefault="00BA3795" w:rsidP="00BA3795">
      <w:pPr>
        <w:pStyle w:val="indicatorNameStyle"/>
        <w:numPr>
          <w:ilvl w:val="0"/>
          <w:numId w:val="3"/>
        </w:numPr>
      </w:pPr>
      <w:r>
        <w:t>Përmirësimi i efiçiencës së buxhetit të bashkisë për shërbimin e ndriçimit publik</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Lekë të shpenzuara për 1 km2 hapësirë publike të ndriçuar / Shpenzime operative dhe mirëmbajtje kundrejt sipërfaqes së mirëmbajtur me ndriçim</w:t>
            </w:r>
          </w:p>
        </w:tc>
      </w:tr>
    </w:tbl>
    <w:p w:rsidR="00EF701A" w:rsidRDefault="00BA3795">
      <w:pPr>
        <w:pStyle w:val="NormalWeb"/>
        <w:divId w:val="572665856"/>
      </w:pPr>
      <w:r>
        <w:t xml:space="preserve">Të dhënat për bashkinë Roskovec tregojnë shpenzimet për mirëmbajtjen e ndriçimit të hapësirave publike për </w:t>
      </w:r>
      <w:r>
        <w:rPr>
          <w:rStyle w:val="Strong"/>
          <w:rFonts w:eastAsiaTheme="majorEastAsia"/>
        </w:rPr>
        <w:t>1 km²</w:t>
      </w:r>
      <w:r>
        <w:t xml:space="preserve"> në vitet 2021-2026. Në </w:t>
      </w:r>
      <w:r>
        <w:rPr>
          <w:rStyle w:val="Strong"/>
          <w:rFonts w:eastAsiaTheme="majorEastAsia"/>
        </w:rPr>
        <w:t>2021</w:t>
      </w:r>
      <w:r>
        <w:t xml:space="preserve">, shpenzimet kanë qenë </w:t>
      </w:r>
      <w:r>
        <w:rPr>
          <w:rStyle w:val="Strong"/>
          <w:rFonts w:eastAsiaTheme="majorEastAsia"/>
        </w:rPr>
        <w:t>632,173.91</w:t>
      </w:r>
      <w:r>
        <w:t xml:space="preserve"> lekë, ndërsa në </w:t>
      </w:r>
      <w:r>
        <w:rPr>
          <w:rStyle w:val="Strong"/>
          <w:rFonts w:eastAsiaTheme="majorEastAsia"/>
        </w:rPr>
        <w:t>2022</w:t>
      </w:r>
      <w:r>
        <w:t xml:space="preserve"> ato janë ulur në </w:t>
      </w:r>
      <w:r>
        <w:rPr>
          <w:rStyle w:val="Strong"/>
          <w:rFonts w:eastAsiaTheme="majorEastAsia"/>
        </w:rPr>
        <w:t>601,258.67</w:t>
      </w:r>
      <w:r>
        <w:t xml:space="preserve"> lekë. Viti </w:t>
      </w:r>
      <w:r>
        <w:rPr>
          <w:rStyle w:val="Strong"/>
          <w:rFonts w:eastAsiaTheme="majorEastAsia"/>
        </w:rPr>
        <w:t>2023</w:t>
      </w:r>
      <w:r>
        <w:t xml:space="preserve"> ka parë një rritje të ndjeshme, me shpenzimet që arrijnë në </w:t>
      </w:r>
      <w:r>
        <w:rPr>
          <w:rStyle w:val="Strong"/>
          <w:rFonts w:eastAsiaTheme="majorEastAsia"/>
        </w:rPr>
        <w:t>682,635.8</w:t>
      </w:r>
      <w:r>
        <w:t xml:space="preserve"> lekë për km². Në </w:t>
      </w:r>
      <w:r>
        <w:rPr>
          <w:rStyle w:val="Strong"/>
          <w:rFonts w:eastAsiaTheme="majorEastAsia"/>
        </w:rPr>
        <w:t>2024</w:t>
      </w:r>
      <w:r>
        <w:t xml:space="preserve">, ka një rënie të konsiderueshme deri në </w:t>
      </w:r>
      <w:r>
        <w:rPr>
          <w:rStyle w:val="Strong"/>
          <w:rFonts w:eastAsiaTheme="majorEastAsia"/>
        </w:rPr>
        <w:t>164,199.87</w:t>
      </w:r>
      <w:r>
        <w:t xml:space="preserve"> lekë. Shpenzimet për </w:t>
      </w:r>
      <w:r>
        <w:rPr>
          <w:rStyle w:val="Strong"/>
          <w:rFonts w:eastAsiaTheme="majorEastAsia"/>
        </w:rPr>
        <w:t>2025</w:t>
      </w:r>
      <w:r>
        <w:t xml:space="preserve"> shfaqin një rritje të lehtë në </w:t>
      </w:r>
      <w:r>
        <w:rPr>
          <w:rStyle w:val="Strong"/>
          <w:rFonts w:eastAsiaTheme="majorEastAsia"/>
        </w:rPr>
        <w:t>197,533.2</w:t>
      </w:r>
      <w:r>
        <w:t xml:space="preserve"> lekë. Më pas, në </w:t>
      </w:r>
      <w:r>
        <w:rPr>
          <w:rStyle w:val="Strong"/>
          <w:rFonts w:eastAsiaTheme="majorEastAsia"/>
        </w:rPr>
        <w:t>2026</w:t>
      </w:r>
      <w:r>
        <w:t xml:space="preserve">, shpenzimet janë llogaritur në </w:t>
      </w:r>
      <w:r>
        <w:rPr>
          <w:rStyle w:val="Strong"/>
          <w:rFonts w:eastAsiaTheme="majorEastAsia"/>
        </w:rPr>
        <w:t>169,314.17</w:t>
      </w:r>
      <w:r>
        <w:t xml:space="preserve"> lekë. Kjo luhatje mund të reflektojë ndryshime në politikat e mirëmbajtjes apo investime të përkohshme. Vitet </w:t>
      </w:r>
      <w:r>
        <w:rPr>
          <w:rStyle w:val="Strong"/>
          <w:rFonts w:eastAsiaTheme="majorEastAsia"/>
        </w:rPr>
        <w:t>2021</w:t>
      </w:r>
      <w:r>
        <w:t xml:space="preserve"> dhe </w:t>
      </w:r>
      <w:r>
        <w:rPr>
          <w:rStyle w:val="Strong"/>
          <w:rFonts w:eastAsiaTheme="majorEastAsia"/>
        </w:rPr>
        <w:t>2023</w:t>
      </w:r>
      <w:r>
        <w:t xml:space="preserve"> janë vitet me shpenzimet më të larta, ndërsa </w:t>
      </w:r>
      <w:r>
        <w:rPr>
          <w:rStyle w:val="Strong"/>
          <w:rFonts w:eastAsiaTheme="majorEastAsia"/>
        </w:rPr>
        <w:t>2024</w:t>
      </w:r>
      <w:r>
        <w:t xml:space="preserve"> shfaq vlerat më të ulëta. Këto tregues mund të ndihmojnë në planifikimin e buxheteve për vitet e ardhshme. Është e rëndësishme të analizohet më tej për të kuptuar arsyet e ndryshimeve në shpenzime.</w:t>
      </w:r>
    </w:p>
    <w:p w:rsidR="00EF701A" w:rsidRDefault="00EF701A" w:rsidP="00BA3795"/>
    <w:p w:rsidR="00EF701A" w:rsidRDefault="00BA3795">
      <w:r>
        <w:rPr>
          <w:noProof/>
        </w:rPr>
        <w:lastRenderedPageBreak/>
        <w:drawing>
          <wp:inline distT="0" distB="0" distL="0" distR="0" wp14:anchorId="52F5BA9D" wp14:editId="3804FAF8">
            <wp:extent cx="5486400" cy="3200400"/>
            <wp:effectExtent l="0" t="0" r="0" b="0"/>
            <wp:docPr id="642532150" name="Chart 642532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F701A" w:rsidRDefault="00EF701A" w:rsidP="00BA3795"/>
    <w:p w:rsidR="00EF701A" w:rsidRDefault="00EF701A" w:rsidP="00BA3795"/>
    <w:p w:rsidR="00EF701A" w:rsidRDefault="00EF701A" w:rsidP="00BA3795"/>
    <w:p w:rsidR="00EF701A" w:rsidRDefault="00EF701A" w:rsidP="00BA3795">
      <w:pPr>
        <w:rPr>
          <w:rFonts w:cs="Times New Roman"/>
        </w:rPr>
      </w:pP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894"/>
        <w:gridCol w:w="1176"/>
        <w:gridCol w:w="1176"/>
        <w:gridCol w:w="1176"/>
        <w:gridCol w:w="1176"/>
        <w:gridCol w:w="1176"/>
        <w:gridCol w:w="117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gjelbër në total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46AF6">
            <w:pPr>
              <w:spacing w:after="0" w:line="240" w:lineRule="auto"/>
            </w:pPr>
            <w:r>
              <w:t>27</w:t>
            </w:r>
            <w:r w:rsidR="00BA3795">
              <w:t>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Trotuarë në total (në km linear)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48.5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Fondi total i pemëve dekorative / gjelbëruese të bashkisë (rrenje peme)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2828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3648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4098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4598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5098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Hapësira publike çlodhëse dhe argëtuese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46AF6">
            <w:pPr>
              <w:spacing w:after="0" w:line="240" w:lineRule="auto"/>
            </w:pPr>
            <w:r>
              <w:t>24</w:t>
            </w:r>
            <w:r w:rsidR="00BA3795">
              <w:t>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publike e bashkisë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për ndriçimin e hapësirave publike (ne leke)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14540000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16233984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20479074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4925996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5925996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5925996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hapësirave publike e mbuluar me ndriçim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 nga tarifa e ndriçimit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768000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 nga tarifa e gjelbërimit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734000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1568000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4186000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varrezave publike që mirëmbahen / shërbehen nga bashkia në vitin korent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njësive administrative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për përmirësimin e shërbimit të varrezave publike (ne mije leke)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7500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7500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Sipërfaqja publike e bashkisë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57000000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61000000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70000000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72000000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pemëve dekorative të reja të shtuara në vit në hapësirat publike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gjelbër e mirëmbajtur në vit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46AF6">
            <w:pPr>
              <w:spacing w:after="0" w:line="240" w:lineRule="auto"/>
            </w:pPr>
            <w:r>
              <w:t>24</w:t>
            </w:r>
            <w:r w:rsidR="00BA3795">
              <w:t>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17500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gjelbër e shtuar në vit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46AF6">
            <w:pPr>
              <w:spacing w:after="0" w:line="240" w:lineRule="auto"/>
            </w:pPr>
            <w:r>
              <w:t>7</w:t>
            </w:r>
            <w:r w:rsidR="00BA3795">
              <w:t>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shtuar me pemë/lule dokorative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3350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3140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3250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varrezave publike e mirëmbajtur në vit në 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224844</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lastRenderedPageBreak/>
              <w:t>Km linear trotuar të shtuar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publike e ndriçuar e mirëmbajtur në vit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e hapësirave publike e mbuluar me ndriçim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Sipërfaqe publike e ndriçuar e mirëmbajtur në vit në km2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35</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DB2B53">
      <w:pPr>
        <w:pStyle w:val="dataNameStyle"/>
      </w:pPr>
      <w:r>
        <w:t>Shpenzime për ndriçimin e hapësirave publike (ne leke)</w:t>
      </w:r>
    </w:p>
    <w:p w:rsidR="00EF701A" w:rsidRDefault="00BA3795">
      <w:pPr>
        <w:pStyle w:val="NormalWeb"/>
        <w:divId w:val="760104755"/>
      </w:pPr>
      <w:r>
        <w:t xml:space="preserve">Të dhënat e bashkisë Roskovec për shpenzimet e ndriçimit të hapësirave publike tregojnë një tendencë interesante në shpenzime përgjatë viteve të fundit. Në vitin </w:t>
      </w:r>
      <w:r>
        <w:rPr>
          <w:rStyle w:val="Strong"/>
          <w:rFonts w:eastAsiaTheme="majorEastAsia"/>
        </w:rPr>
        <w:t>2021</w:t>
      </w:r>
      <w:r>
        <w:t xml:space="preserve">, bashkia ka shpenzuar </w:t>
      </w:r>
      <w:r>
        <w:rPr>
          <w:rStyle w:val="Strong"/>
          <w:rFonts w:eastAsiaTheme="majorEastAsia"/>
        </w:rPr>
        <w:t>14,540,000</w:t>
      </w:r>
      <w:r>
        <w:t xml:space="preserve"> lekë për ndriçimin publik. Shpenzimet rriten në mënyrë të konsiderueshme në vitin </w:t>
      </w:r>
      <w:r>
        <w:rPr>
          <w:rStyle w:val="Strong"/>
          <w:rFonts w:eastAsiaTheme="majorEastAsia"/>
        </w:rPr>
        <w:t>2022</w:t>
      </w:r>
      <w:r>
        <w:t xml:space="preserve">, duke arritur në </w:t>
      </w:r>
      <w:r>
        <w:rPr>
          <w:rStyle w:val="Strong"/>
          <w:rFonts w:eastAsiaTheme="majorEastAsia"/>
        </w:rPr>
        <w:t>16,233,984</w:t>
      </w:r>
      <w:r>
        <w:t xml:space="preserve"> lekë. Rritja vazhdon edhe më tej në </w:t>
      </w:r>
      <w:r>
        <w:rPr>
          <w:rStyle w:val="Strong"/>
          <w:rFonts w:eastAsiaTheme="majorEastAsia"/>
        </w:rPr>
        <w:t>2023</w:t>
      </w:r>
      <w:r>
        <w:t xml:space="preserve">, me një shumë prej </w:t>
      </w:r>
      <w:r>
        <w:rPr>
          <w:rStyle w:val="Strong"/>
          <w:rFonts w:eastAsiaTheme="majorEastAsia"/>
        </w:rPr>
        <w:t>20,479,074</w:t>
      </w:r>
      <w:r>
        <w:t xml:space="preserve"> lekësh, duke treguar një investim të qartë në përmirësimin e ndriçimit publik. Megjithatë, për vitin </w:t>
      </w:r>
      <w:r>
        <w:rPr>
          <w:rStyle w:val="Strong"/>
          <w:rFonts w:eastAsiaTheme="majorEastAsia"/>
        </w:rPr>
        <w:t>2024</w:t>
      </w:r>
      <w:r>
        <w:t xml:space="preserve">, ka një rënie të dukshme, me shpenzimet që bien në </w:t>
      </w:r>
      <w:r>
        <w:rPr>
          <w:rStyle w:val="Strong"/>
          <w:rFonts w:eastAsiaTheme="majorEastAsia"/>
        </w:rPr>
        <w:t>4,925,996</w:t>
      </w:r>
      <w:r>
        <w:t xml:space="preserve"> lekë. Në </w:t>
      </w:r>
      <w:r>
        <w:rPr>
          <w:rStyle w:val="Strong"/>
          <w:rFonts w:eastAsiaTheme="majorEastAsia"/>
        </w:rPr>
        <w:t>2025</w:t>
      </w:r>
      <w:r>
        <w:t xml:space="preserve"> dhe </w:t>
      </w:r>
      <w:r>
        <w:rPr>
          <w:rStyle w:val="Strong"/>
          <w:rFonts w:eastAsiaTheme="majorEastAsia"/>
        </w:rPr>
        <w:t>2026</w:t>
      </w:r>
      <w:r>
        <w:t xml:space="preserve">, shpenzimet mbeten të njëjta, me një shumë prej </w:t>
      </w:r>
      <w:r>
        <w:rPr>
          <w:rStyle w:val="Strong"/>
          <w:rFonts w:eastAsiaTheme="majorEastAsia"/>
        </w:rPr>
        <w:t>5,925,996</w:t>
      </w:r>
      <w:r>
        <w:t xml:space="preserve"> lekësh secilin vit. Kjo reduktim i shpenzimeve pas vitit 2023 mund të sugjerojë një optimizim ose një përfundim të projekteve madhore të ndriçimit. Rritja fillestare e shpenzimeve deri në 2023 tregon prioritizimin nga bashkia për infrastrukturën e ndriçimit. Ndërkohë, stabilizimi në vitet pasuese mund të lidhet me një mirëmbajtje rutinë ose një strategji për të ruajtur kostot. Ky ndryshim në shpenzime është i rëndësishëm për analizimin e politikave të investimeve publike dhe menaxhimit të resurseve nga bashkia Roskovec.</w:t>
      </w:r>
    </w:p>
    <w:p w:rsidR="00EF701A" w:rsidRDefault="00EF701A" w:rsidP="00BA3795"/>
    <w:p w:rsidR="00EF701A" w:rsidRDefault="00BA3795" w:rsidP="00BA3795">
      <w:r>
        <w:rPr>
          <w:noProof/>
        </w:rPr>
        <w:drawing>
          <wp:inline distT="0" distB="0" distL="0" distR="0" wp14:anchorId="321CBF15" wp14:editId="13DB4AF2">
            <wp:extent cx="5486400" cy="3200400"/>
            <wp:effectExtent l="0" t="0" r="0" b="0"/>
            <wp:docPr id="1921234225" name="Chart 1921234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EF701A" w:rsidRDefault="00EF701A" w:rsidP="00BA3795"/>
    <w:p w:rsidR="00EF701A" w:rsidRDefault="00EF701A"/>
    <w:p w:rsidR="00EF701A" w:rsidRDefault="00BA3795" w:rsidP="00BA3795">
      <w:pPr>
        <w:pStyle w:val="dataNameStyle"/>
      </w:pPr>
      <w:r>
        <w:lastRenderedPageBreak/>
        <w:t>Të ardhura nga tarifa e gjelbërimit (në lekë)</w:t>
      </w:r>
    </w:p>
    <w:p w:rsidR="00EF701A" w:rsidRDefault="00BA3795">
      <w:pPr>
        <w:pStyle w:val="NormalWeb"/>
        <w:divId w:val="1897550831"/>
      </w:pPr>
      <w:r>
        <w:t xml:space="preserve">Në Bashkinë Roskovec, </w:t>
      </w:r>
      <w:r>
        <w:rPr>
          <w:rStyle w:val="Strong"/>
          <w:rFonts w:eastAsiaTheme="majorEastAsia"/>
        </w:rPr>
        <w:t>të ardhurat nga tarifa e gjelbërimit</w:t>
      </w:r>
      <w:r>
        <w:t xml:space="preserve"> kanë pësuar një rritje të ndjeshme gjatë periudhës së analizuar. Në vitin </w:t>
      </w:r>
      <w:r>
        <w:rPr>
          <w:rStyle w:val="Strong"/>
          <w:rFonts w:eastAsiaTheme="majorEastAsia"/>
        </w:rPr>
        <w:t>2021</w:t>
      </w:r>
      <w:r>
        <w:t xml:space="preserve">, të ardhurat ishin </w:t>
      </w:r>
      <w:r>
        <w:rPr>
          <w:rStyle w:val="Strong"/>
          <w:rFonts w:eastAsiaTheme="majorEastAsia"/>
        </w:rPr>
        <w:t>734,000 lekë</w:t>
      </w:r>
      <w:r>
        <w:t xml:space="preserve">, duke shënuar një pikë fillestare në periudhën kohore të konsideruar. Vitit pasues, </w:t>
      </w:r>
      <w:r>
        <w:rPr>
          <w:rStyle w:val="Strong"/>
          <w:rFonts w:eastAsiaTheme="majorEastAsia"/>
        </w:rPr>
        <w:t>2022</w:t>
      </w:r>
      <w:r>
        <w:t xml:space="preserve">, tregoi një rritje domethënëse, me të ardhurat që arritën në </w:t>
      </w:r>
      <w:r>
        <w:rPr>
          <w:rStyle w:val="Strong"/>
          <w:rFonts w:eastAsiaTheme="majorEastAsia"/>
        </w:rPr>
        <w:t>1,568,000 lekë</w:t>
      </w:r>
      <w:r>
        <w:t xml:space="preserve">. Kjo rritje e dukshme vazhdoi në vitin </w:t>
      </w:r>
      <w:r>
        <w:rPr>
          <w:rStyle w:val="Strong"/>
          <w:rFonts w:eastAsiaTheme="majorEastAsia"/>
        </w:rPr>
        <w:t>2023</w:t>
      </w:r>
      <w:r>
        <w:t xml:space="preserve">, kur të ardhurat u trefishuan për të arritur në </w:t>
      </w:r>
      <w:r>
        <w:rPr>
          <w:rStyle w:val="Strong"/>
          <w:rFonts w:eastAsiaTheme="majorEastAsia"/>
        </w:rPr>
        <w:t>4,186,000 lekë</w:t>
      </w:r>
      <w:r>
        <w:t xml:space="preserve">. Viti </w:t>
      </w:r>
      <w:r>
        <w:rPr>
          <w:rStyle w:val="Strong"/>
          <w:rFonts w:eastAsiaTheme="majorEastAsia"/>
        </w:rPr>
        <w:t>2024</w:t>
      </w:r>
      <w:r>
        <w:t xml:space="preserve"> mbajti të njëjtin nivel të konsiderueshëm të të ardhurave, </w:t>
      </w:r>
      <w:r>
        <w:rPr>
          <w:rStyle w:val="Strong"/>
          <w:rFonts w:eastAsiaTheme="majorEastAsia"/>
        </w:rPr>
        <w:t>4,186,000 lekë</w:t>
      </w:r>
      <w:r>
        <w:t xml:space="preserve">, duke sugjeruar një stabilitet të mirë në planin financiar të bashkisë. E njëjta shifër, </w:t>
      </w:r>
      <w:r>
        <w:rPr>
          <w:rStyle w:val="Strong"/>
          <w:rFonts w:eastAsiaTheme="majorEastAsia"/>
        </w:rPr>
        <w:t>4,186,000 lekë</w:t>
      </w:r>
      <w:r>
        <w:t xml:space="preserve">, vazhdoi dhe për vitet </w:t>
      </w:r>
      <w:r>
        <w:rPr>
          <w:rStyle w:val="Strong"/>
          <w:rFonts w:eastAsiaTheme="majorEastAsia"/>
        </w:rPr>
        <w:t>2025</w:t>
      </w:r>
      <w:r>
        <w:t xml:space="preserve"> dhe </w:t>
      </w:r>
      <w:r>
        <w:rPr>
          <w:rStyle w:val="Strong"/>
          <w:rFonts w:eastAsiaTheme="majorEastAsia"/>
        </w:rPr>
        <w:t>2026</w:t>
      </w:r>
      <w:r>
        <w:t>, duke treguar konsistencë në të ardhurat nga kjo tarifë. Këto të dhëna sugjerojnë një strategji efektive për mbledhjen e tarifës së gjelbërimit apo përmirësimin e shërbimeve që lidhen me të. Rritja fillestare e të ardhurave mund të jetë rezultat i ndryshimit të politikave ose përmirësimeve në menaxhim. Stabilizimi i vlerave në vitet pasuese mund të reflektojë në efikasitetin e bashkisë në mbajtjen e këtyre politikave të suksesshme. Analiza e këtyre të dhënave mund të ndihmojë bashkinë në planifikimin afatgjatë për zhvillimin urban dhe mjedisor të zonës.</w:t>
      </w:r>
    </w:p>
    <w:p w:rsidR="00EF701A" w:rsidRDefault="00EF701A" w:rsidP="00BA3795"/>
    <w:p w:rsidR="00EF701A" w:rsidRDefault="00BA3795" w:rsidP="00BA3795">
      <w:r>
        <w:rPr>
          <w:noProof/>
        </w:rPr>
        <w:drawing>
          <wp:inline distT="0" distB="0" distL="0" distR="0" wp14:anchorId="5ED6CFDF" wp14:editId="71F1936C">
            <wp:extent cx="5486400" cy="3200400"/>
            <wp:effectExtent l="0" t="0" r="0" b="0"/>
            <wp:docPr id="903554106" name="Chart 903554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EF701A" w:rsidRDefault="00EF701A" w:rsidP="00BA3795"/>
    <w:p w:rsidR="00EF701A" w:rsidRDefault="00EF701A"/>
    <w:p w:rsidR="00EF701A" w:rsidRDefault="00BA3795" w:rsidP="00BA3795">
      <w:pPr>
        <w:pStyle w:val="dataNameStyle"/>
      </w:pPr>
      <w:r>
        <w:lastRenderedPageBreak/>
        <w:t>Sipërfaqe e gjelbër e mirëmbajtur në vit në m2</w:t>
      </w:r>
    </w:p>
    <w:p w:rsidR="00F919C9" w:rsidRDefault="00DB2B53">
      <w:pPr>
        <w:pStyle w:val="NormalWeb"/>
        <w:divId w:val="458381277"/>
      </w:pPr>
      <w:r w:rsidRPr="00DB2B53">
        <w:t xml:space="preserve">Në Bashkinë Roskovec, </w:t>
      </w:r>
      <w:r w:rsidRPr="00DB2B53">
        <w:rPr>
          <w:b/>
          <w:bCs/>
        </w:rPr>
        <w:t>sipërfaqja e gjelbër e mirëmbajtur</w:t>
      </w:r>
      <w:r w:rsidRPr="00DB2B53">
        <w:t xml:space="preserve"> ka treguar një stabilitet të konsiderueshëm në vitet e mëparshme. Gjatë viteve </w:t>
      </w:r>
      <w:r w:rsidRPr="00DB2B53">
        <w:rPr>
          <w:b/>
          <w:bCs/>
        </w:rPr>
        <w:t>2021</w:t>
      </w:r>
      <w:r w:rsidRPr="00DB2B53">
        <w:t xml:space="preserve">, </w:t>
      </w:r>
      <w:r w:rsidRPr="00DB2B53">
        <w:rPr>
          <w:b/>
          <w:bCs/>
        </w:rPr>
        <w:t>2022</w:t>
      </w:r>
      <w:r w:rsidRPr="00DB2B53">
        <w:t xml:space="preserve">, dhe </w:t>
      </w:r>
      <w:r w:rsidRPr="00DB2B53">
        <w:rPr>
          <w:b/>
          <w:bCs/>
        </w:rPr>
        <w:t>2023</w:t>
      </w:r>
      <w:r w:rsidRPr="00DB2B53">
        <w:t xml:space="preserve">, kjo sipërfaqe ka qenë e pandryshuar me </w:t>
      </w:r>
      <w:r w:rsidRPr="00DB2B53">
        <w:rPr>
          <w:b/>
          <w:bCs/>
        </w:rPr>
        <w:t>17,000 m²</w:t>
      </w:r>
      <w:r w:rsidRPr="00DB2B53">
        <w:t xml:space="preserve">. </w:t>
      </w:r>
    </w:p>
    <w:p w:rsidR="00DB2B53" w:rsidRDefault="00534F70" w:rsidP="006323A0">
      <w:pPr>
        <w:pStyle w:val="NormalWeb"/>
        <w:divId w:val="458381277"/>
      </w:pPr>
      <w:r>
        <w:t xml:space="preserve">Per vitin 2024 </w:t>
      </w:r>
      <w:r w:rsidRPr="00DB2B53">
        <w:rPr>
          <w:b/>
          <w:bCs/>
        </w:rPr>
        <w:t>sipërfaqja e gjelbër e mirëmbajtur</w:t>
      </w:r>
      <w:r w:rsidRPr="00DB2B53">
        <w:t xml:space="preserve"> </w:t>
      </w:r>
      <w:r>
        <w:t xml:space="preserve">shkone ne </w:t>
      </w:r>
      <w:r w:rsidRPr="00534F70">
        <w:t xml:space="preserve">24,000 m². </w:t>
      </w:r>
      <w:r>
        <w:t>N</w:t>
      </w:r>
      <w:r w:rsidR="00DB2B53" w:rsidRPr="00DB2B53">
        <w:t xml:space="preserve">ë </w:t>
      </w:r>
      <w:r w:rsidRPr="00534F70">
        <w:rPr>
          <w:b/>
        </w:rPr>
        <w:t>2025</w:t>
      </w:r>
      <w:r>
        <w:t xml:space="preserve"> </w:t>
      </w:r>
      <w:r w:rsidR="00DB2B53" w:rsidRPr="00DB2B53">
        <w:t xml:space="preserve">është vërejtur </w:t>
      </w:r>
      <w:r>
        <w:t xml:space="preserve">që </w:t>
      </w:r>
      <w:r w:rsidRPr="00DB2B53">
        <w:rPr>
          <w:b/>
          <w:bCs/>
        </w:rPr>
        <w:t>sipërfaqja e gjelbër e mirëmbajtur</w:t>
      </w:r>
      <w:r w:rsidRPr="00DB2B53">
        <w:t xml:space="preserve"> </w:t>
      </w:r>
      <w:r>
        <w:t xml:space="preserve">ulet në </w:t>
      </w:r>
      <w:r w:rsidR="00DB2B53" w:rsidRPr="00DB2B53">
        <w:rPr>
          <w:b/>
          <w:bCs/>
        </w:rPr>
        <w:t>17,500 m²</w:t>
      </w:r>
      <w:r w:rsidR="00DB2B53" w:rsidRPr="00DB2B53">
        <w:t xml:space="preserve">. </w:t>
      </w:r>
      <w:r>
        <w:t xml:space="preserve"> </w:t>
      </w:r>
      <w:r w:rsidRPr="00DB2B53">
        <w:t xml:space="preserve">Një rritje e lehtë </w:t>
      </w:r>
      <w:r>
        <w:t xml:space="preserve">pritete të ndodh </w:t>
      </w:r>
      <w:r w:rsidR="00DB2B53" w:rsidRPr="00DB2B53">
        <w:t xml:space="preserve">në vitin </w:t>
      </w:r>
      <w:r w:rsidR="00DB2B53" w:rsidRPr="00DB2B53">
        <w:rPr>
          <w:b/>
          <w:bCs/>
        </w:rPr>
        <w:t>2026</w:t>
      </w:r>
      <w:r>
        <w:t xml:space="preserve"> </w:t>
      </w:r>
      <w:r w:rsidR="00DB2B53" w:rsidRPr="00DB2B53">
        <w:t xml:space="preserve">në </w:t>
      </w:r>
      <w:r w:rsidR="00DB2B53" w:rsidRPr="00DB2B53">
        <w:rPr>
          <w:b/>
          <w:bCs/>
        </w:rPr>
        <w:t>18,000 m²</w:t>
      </w:r>
      <w:r w:rsidR="00DB2B53" w:rsidRPr="00DB2B53">
        <w:t xml:space="preserve">. Analiza tregon një </w:t>
      </w:r>
      <w:r>
        <w:t xml:space="preserve">luhatje në procesin e </w:t>
      </w:r>
      <w:r w:rsidRPr="00DB2B53">
        <w:rPr>
          <w:b/>
          <w:bCs/>
        </w:rPr>
        <w:t>sipërfaq</w:t>
      </w:r>
      <w:r>
        <w:rPr>
          <w:b/>
          <w:bCs/>
        </w:rPr>
        <w:t>eve të</w:t>
      </w:r>
      <w:r w:rsidRPr="00DB2B53">
        <w:rPr>
          <w:b/>
          <w:bCs/>
        </w:rPr>
        <w:t xml:space="preserve"> gjelbër</w:t>
      </w:r>
      <w:r>
        <w:rPr>
          <w:b/>
          <w:bCs/>
        </w:rPr>
        <w:t>ta të</w:t>
      </w:r>
      <w:r w:rsidRPr="00DB2B53">
        <w:rPr>
          <w:b/>
          <w:bCs/>
        </w:rPr>
        <w:t xml:space="preserve"> mirëmbajtur</w:t>
      </w:r>
      <w:r w:rsidR="00DB2B53" w:rsidRPr="00DB2B53">
        <w:t>.</w:t>
      </w:r>
    </w:p>
    <w:p w:rsidR="00DB2B53" w:rsidRDefault="00DB2B53"/>
    <w:p w:rsidR="00EF701A" w:rsidRDefault="00BA3795" w:rsidP="00BA3795">
      <w:pPr>
        <w:pStyle w:val="dataNameStyle"/>
      </w:pPr>
      <w:r>
        <w:t>Sipërfaqe e varrezave publike e mirëmbajtur në vit në m2</w:t>
      </w:r>
    </w:p>
    <w:p w:rsidR="00DB2B53" w:rsidRPr="00DB2B53" w:rsidRDefault="00DB2B53" w:rsidP="00DB2B53">
      <w:pPr>
        <w:pStyle w:val="NormalWeb"/>
        <w:divId w:val="1769962667"/>
      </w:pPr>
      <w:r w:rsidRPr="00DB2B53">
        <w:t xml:space="preserve">Bazuar në të dhënat e bashkisë Roskovec, sipërfaqja e varrezave publike e mirëmbajtur gjatë vitit, për periudhën </w:t>
      </w:r>
      <w:r w:rsidRPr="00DB2B53">
        <w:rPr>
          <w:b/>
          <w:bCs/>
        </w:rPr>
        <w:t>2021-2026</w:t>
      </w:r>
      <w:r w:rsidRPr="00DB2B53">
        <w:t xml:space="preserve">, është konstante, me një total prej </w:t>
      </w:r>
      <w:r w:rsidRPr="00DB2B53">
        <w:rPr>
          <w:b/>
          <w:bCs/>
        </w:rPr>
        <w:t>224,844 m2</w:t>
      </w:r>
      <w:r w:rsidRPr="00DB2B53">
        <w:t xml:space="preserve"> çdo vit. Kjo tregon një stabilitet në menaxhimin dhe mirëmbajtjen e hapësirave të varrezave nga ana e bashkisë. Vlera e pandryshuar sugjeron se nuk ka pasur zgjerime apo reduktime të këtyre hapësirave gjatë kësaj periudhe gjashtëvjeçare. Gjithashtu, mund të nënkuptojë se infrastruktura e këtyre hapësirave ka qenë e mjaftueshme për të përmbushur nevojat e komunitetit për varrime. Një sipërfaqe kaq e madhe e mirëmbajtur sinjalizon një përkushtim të vazhdueshëm nga ana e institucioneve lokale për të ofruar shërbimet e nevojshme dhe respektin për të ndjerët. Nga ana tjetër, angazhimi për mirëmbajtjen e vazhdueshme mund të përkthehet në kosto të qëndrueshme operative për bashkinë. Pavarësisht ndryshimeve të mundshme demografike apo urbanistike, sipërfaqja mbetet e njëjtë, duke treguar se planifikimi hapësinor për varreza është bërë me kujdes. Kjo politikë mund të jetë rezultat i strategjive afatgjata për menaxhimin e hapësirave publike. Në kontekstin e qëndrueshmërisë, ruajtja e pandryshuar e sipërfaqes së varrezave reflekton një balancim mes nevojave aktuale dhe parashikimeve të ardhshme.</w:t>
      </w:r>
    </w:p>
    <w:p w:rsidR="00DB2B53" w:rsidRDefault="00DB2B53">
      <w:pPr>
        <w:pStyle w:val="NormalWeb"/>
        <w:divId w:val="1769962667"/>
      </w:pPr>
    </w:p>
    <w:p w:rsidR="00EF701A" w:rsidRDefault="00EF701A" w:rsidP="00BA3795"/>
    <w:p w:rsidR="00EF701A" w:rsidRDefault="00BA3795" w:rsidP="00BA3795">
      <w:r>
        <w:rPr>
          <w:noProof/>
        </w:rPr>
        <w:lastRenderedPageBreak/>
        <w:drawing>
          <wp:inline distT="0" distB="0" distL="0" distR="0" wp14:anchorId="73EDED37" wp14:editId="09B24940">
            <wp:extent cx="5486400" cy="3200400"/>
            <wp:effectExtent l="0" t="0" r="0" b="0"/>
            <wp:docPr id="1480759937" name="Chart 1480759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EF701A" w:rsidRDefault="00EF701A" w:rsidP="00BA3795"/>
    <w:p w:rsidR="00EF701A" w:rsidRDefault="00EF701A"/>
    <w:p w:rsidR="00EF701A" w:rsidRDefault="00BA3795" w:rsidP="00BA3795">
      <w:pPr>
        <w:pStyle w:val="dataNameStyle"/>
      </w:pPr>
      <w:r>
        <w:t>Sipërfaqe publike e ndriçuar e mirëmbajtur në vit në km2</w:t>
      </w:r>
    </w:p>
    <w:p w:rsidR="00EF701A" w:rsidRDefault="00BA3795">
      <w:pPr>
        <w:pStyle w:val="NormalWeb"/>
        <w:divId w:val="1004551094"/>
      </w:pPr>
      <w:r>
        <w:t xml:space="preserve">Bashkia Roskovec ka bërë përparim të dukshëm në mirëmbajtjen dhe ndriçimin e sipërfaqeve publike ndër vite. Në vitin </w:t>
      </w:r>
      <w:r>
        <w:rPr>
          <w:rStyle w:val="Strong"/>
          <w:rFonts w:eastAsiaTheme="majorEastAsia"/>
        </w:rPr>
        <w:t>2021</w:t>
      </w:r>
      <w:r>
        <w:t xml:space="preserve">, sipërfaqja publike e ndriçuar dhe mirëmbajtur ishte </w:t>
      </w:r>
      <w:r>
        <w:rPr>
          <w:rStyle w:val="Strong"/>
          <w:rFonts w:eastAsiaTheme="majorEastAsia"/>
        </w:rPr>
        <w:t>23 km²</w:t>
      </w:r>
      <w:r>
        <w:t xml:space="preserve">. Kjo u rrit në </w:t>
      </w:r>
      <w:r>
        <w:rPr>
          <w:rStyle w:val="Strong"/>
          <w:rFonts w:eastAsiaTheme="majorEastAsia"/>
        </w:rPr>
        <w:t>27 km²</w:t>
      </w:r>
      <w:r>
        <w:t xml:space="preserve"> në vitin </w:t>
      </w:r>
      <w:r>
        <w:rPr>
          <w:rStyle w:val="Strong"/>
          <w:rFonts w:eastAsiaTheme="majorEastAsia"/>
        </w:rPr>
        <w:t>2022</w:t>
      </w:r>
      <w:r>
        <w:t xml:space="preserve">, duke shënuar një përmirësim të ndjeshëm në cilësinë e infrastrukturës urbane. Në vitin </w:t>
      </w:r>
      <w:r>
        <w:rPr>
          <w:rStyle w:val="Strong"/>
          <w:rFonts w:eastAsiaTheme="majorEastAsia"/>
        </w:rPr>
        <w:t>2023</w:t>
      </w:r>
      <w:r>
        <w:t xml:space="preserve">, sipërfaqja mbeti e qëndrueshme në </w:t>
      </w:r>
      <w:r>
        <w:rPr>
          <w:rStyle w:val="Strong"/>
          <w:rFonts w:eastAsiaTheme="majorEastAsia"/>
        </w:rPr>
        <w:t>30 km²</w:t>
      </w:r>
      <w:r>
        <w:t xml:space="preserve">, duke reflektuar angazhimin e vazhdueshëm të bashkisë. Për vitin </w:t>
      </w:r>
      <w:r>
        <w:rPr>
          <w:rStyle w:val="Strong"/>
          <w:rFonts w:eastAsiaTheme="majorEastAsia"/>
        </w:rPr>
        <w:t>2024</w:t>
      </w:r>
      <w:r>
        <w:t xml:space="preserve">, ky nivel sipërfaqeje u ruajt i pandryshuar në </w:t>
      </w:r>
      <w:r>
        <w:rPr>
          <w:rStyle w:val="Strong"/>
          <w:rFonts w:eastAsiaTheme="majorEastAsia"/>
        </w:rPr>
        <w:t>30 km²</w:t>
      </w:r>
      <w:r>
        <w:t xml:space="preserve">. Ndërkohë, për vitin </w:t>
      </w:r>
      <w:r>
        <w:rPr>
          <w:rStyle w:val="Strong"/>
          <w:rFonts w:eastAsiaTheme="majorEastAsia"/>
        </w:rPr>
        <w:t>2025</w:t>
      </w:r>
      <w:r>
        <w:t xml:space="preserve">, gjithashtu nuk pati ndryshim, duke qëndruar në </w:t>
      </w:r>
      <w:r>
        <w:rPr>
          <w:rStyle w:val="Strong"/>
          <w:rFonts w:eastAsiaTheme="majorEastAsia"/>
        </w:rPr>
        <w:t>30 km²</w:t>
      </w:r>
      <w:r>
        <w:t xml:space="preserve">. Parashikimet për vitin </w:t>
      </w:r>
      <w:r>
        <w:rPr>
          <w:rStyle w:val="Strong"/>
          <w:rFonts w:eastAsiaTheme="majorEastAsia"/>
        </w:rPr>
        <w:t>2026</w:t>
      </w:r>
      <w:r>
        <w:t xml:space="preserve"> tregojnë një rritje të mëtejshme në </w:t>
      </w:r>
      <w:r>
        <w:rPr>
          <w:rStyle w:val="Strong"/>
          <w:rFonts w:eastAsiaTheme="majorEastAsia"/>
        </w:rPr>
        <w:t>35 km²</w:t>
      </w:r>
      <w:r>
        <w:t xml:space="preserve">, që përfaqëson një zhvillim të qëndrueshëm. Këto shifra tregojnë një angazhim të fortë për të përmirësuar cilësinë e jetës në komunitetin e Roskovecit. Rritja e vazhdueshme prej </w:t>
      </w:r>
      <w:r>
        <w:rPr>
          <w:rStyle w:val="Strong"/>
          <w:rFonts w:eastAsiaTheme="majorEastAsia"/>
        </w:rPr>
        <w:t>2021</w:t>
      </w:r>
      <w:r>
        <w:t xml:space="preserve"> deri në </w:t>
      </w:r>
      <w:r>
        <w:rPr>
          <w:rStyle w:val="Strong"/>
          <w:rFonts w:eastAsiaTheme="majorEastAsia"/>
        </w:rPr>
        <w:t>2026</w:t>
      </w:r>
      <w:r>
        <w:t xml:space="preserve"> reflekton prioritetet e bashkisë në menaxhimin efektiv të hapësirave publike. Në përgjithësi, ky progres tregon një investim eficient dhe të qëndrueshëm në infrastrukturën publike të bashkisë. Të dhënat reflektojnë përkushtimin drejt përmirësimeve urbane për të bërë Roskovecin një vend më të këndshëm për banorët e tij.</w:t>
      </w:r>
    </w:p>
    <w:p w:rsidR="00EF701A" w:rsidRDefault="00EF701A" w:rsidP="00BA3795"/>
    <w:p w:rsidR="00EF701A" w:rsidRDefault="00BA3795" w:rsidP="00BA3795">
      <w:r>
        <w:rPr>
          <w:noProof/>
        </w:rPr>
        <w:lastRenderedPageBreak/>
        <w:drawing>
          <wp:inline distT="0" distB="0" distL="0" distR="0" wp14:anchorId="17B0CFE1" wp14:editId="7523A3FB">
            <wp:extent cx="5486400" cy="3200400"/>
            <wp:effectExtent l="0" t="0" r="0" b="0"/>
            <wp:docPr id="1870574117" name="Chart 1870574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EF701A" w:rsidRDefault="00EF701A" w:rsidP="00BA3795"/>
    <w:p w:rsidR="00EF701A" w:rsidRDefault="00EF701A"/>
    <w:p w:rsidR="00EF701A" w:rsidRDefault="00BA3795" w:rsidP="00BA3795">
      <w:pPr>
        <w:pStyle w:val="dataNameStyle"/>
      </w:pPr>
      <w:r>
        <w:t>Sipërfaqe publike e ndriçuar e mirëmbajtur në vit në km2</w:t>
      </w:r>
    </w:p>
    <w:p w:rsidR="00EF701A" w:rsidRDefault="00BA3795">
      <w:pPr>
        <w:pStyle w:val="NormalWeb"/>
        <w:divId w:val="1307934419"/>
      </w:pPr>
      <w:r>
        <w:t xml:space="preserve">Të dhënat mbi sipërfaqen publike të ndriçuar dhe mirëmbajtur në Bashkinë Roskovec tregojnë për një trend rritës në periudhën kohore të analizuar. Në vitin </w:t>
      </w:r>
      <w:r>
        <w:rPr>
          <w:rStyle w:val="Strong"/>
          <w:rFonts w:eastAsiaTheme="majorEastAsia"/>
        </w:rPr>
        <w:t>2021</w:t>
      </w:r>
      <w:r>
        <w:t xml:space="preserve">, sipërfaqja e mirëmbajtur dhe ndriçuar ishte </w:t>
      </w:r>
      <w:r>
        <w:rPr>
          <w:rStyle w:val="Strong"/>
          <w:rFonts w:eastAsiaTheme="majorEastAsia"/>
        </w:rPr>
        <w:t>23 km²</w:t>
      </w:r>
      <w:r>
        <w:t xml:space="preserve">. Gjatë vitit </w:t>
      </w:r>
      <w:r>
        <w:rPr>
          <w:rStyle w:val="Strong"/>
          <w:rFonts w:eastAsiaTheme="majorEastAsia"/>
        </w:rPr>
        <w:t>2022</w:t>
      </w:r>
      <w:r>
        <w:t xml:space="preserve">, kjo sipërfaqe u rrit në </w:t>
      </w:r>
      <w:r>
        <w:rPr>
          <w:rStyle w:val="Strong"/>
          <w:rFonts w:eastAsiaTheme="majorEastAsia"/>
        </w:rPr>
        <w:t>27 km²</w:t>
      </w:r>
      <w:r>
        <w:t xml:space="preserve">, duke reflektuar një përmirësim të konsiderueshëm. Në </w:t>
      </w:r>
      <w:r>
        <w:rPr>
          <w:rStyle w:val="Strong"/>
          <w:rFonts w:eastAsiaTheme="majorEastAsia"/>
        </w:rPr>
        <w:t>2023</w:t>
      </w:r>
      <w:r>
        <w:t xml:space="preserve">, sipërfaqja arriti në </w:t>
      </w:r>
      <w:r>
        <w:rPr>
          <w:rStyle w:val="Strong"/>
          <w:rFonts w:eastAsiaTheme="majorEastAsia"/>
        </w:rPr>
        <w:t>30 km²</w:t>
      </w:r>
      <w:r>
        <w:t xml:space="preserve">, duke e mbajtur këtë nivel edhe në vitin </w:t>
      </w:r>
      <w:r>
        <w:rPr>
          <w:rStyle w:val="Strong"/>
          <w:rFonts w:eastAsiaTheme="majorEastAsia"/>
        </w:rPr>
        <w:t>2024</w:t>
      </w:r>
      <w:r>
        <w:t xml:space="preserve"> dhe </w:t>
      </w:r>
      <w:r>
        <w:rPr>
          <w:rStyle w:val="Strong"/>
          <w:rFonts w:eastAsiaTheme="majorEastAsia"/>
        </w:rPr>
        <w:t>2025</w:t>
      </w:r>
      <w:r>
        <w:t xml:space="preserve">. Kjo tregon një stabilitet në shtyrjen e përmirësimeve në këtë periudhë. Viti </w:t>
      </w:r>
      <w:r>
        <w:rPr>
          <w:rStyle w:val="Strong"/>
          <w:rFonts w:eastAsiaTheme="majorEastAsia"/>
        </w:rPr>
        <w:t>2026</w:t>
      </w:r>
      <w:r>
        <w:t xml:space="preserve"> shënoi një rritje të mëtejshme, duke arritur në </w:t>
      </w:r>
      <w:r>
        <w:rPr>
          <w:rStyle w:val="Strong"/>
          <w:rFonts w:eastAsiaTheme="majorEastAsia"/>
        </w:rPr>
        <w:t>35 km²</w:t>
      </w:r>
      <w:r>
        <w:t>, që është rritja më e madhe e regjistruar përgjatë viteve të dhëna. Kjo tregon një angazhim të vazhdueshëm për zhvillimin dhe përmirësimin e infrastrukturës publike në Roskovec. Rritja e sipërfaqes së ndriçuar dhe mirëmbajtur ka përfitime potenciale për komunitetin dhe jetesën urbane, duke përmirësuar sigurinë dhe cilësinë e jetës. Në përgjithësi, këto të dhëna pasqyrojnë një përpjekje të qëndrueshme të bashkisë për të investuar në mjedisin publik të qytetarëve të saj.</w:t>
      </w:r>
    </w:p>
    <w:p w:rsidR="00EF701A" w:rsidRDefault="00EF701A" w:rsidP="00BA3795"/>
    <w:p w:rsidR="00EF701A" w:rsidRDefault="00BA3795" w:rsidP="00BA3795">
      <w:r>
        <w:rPr>
          <w:noProof/>
        </w:rPr>
        <w:lastRenderedPageBreak/>
        <w:drawing>
          <wp:inline distT="0" distB="0" distL="0" distR="0" wp14:anchorId="7356CBB1" wp14:editId="63D13AB6">
            <wp:extent cx="5486400" cy="3200400"/>
            <wp:effectExtent l="0" t="0" r="0" b="0"/>
            <wp:docPr id="339666612" name="Chart 3396666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EF701A" w:rsidRDefault="00EF701A" w:rsidP="00BA3795"/>
    <w:p w:rsidR="00EF701A" w:rsidRDefault="00BA3795" w:rsidP="00DB2B53">
      <w:pPr>
        <w:pStyle w:val="sherbimiemristyle"/>
        <w:jc w:val="left"/>
      </w:pPr>
      <w:bookmarkStart w:id="41" w:name="_Toc210053357"/>
      <w:r>
        <w:lastRenderedPageBreak/>
        <w:t>Rrjeti rrugor rural</w:t>
      </w:r>
      <w:bookmarkEnd w:id="41"/>
    </w:p>
    <w:p w:rsidR="00EF701A" w:rsidRDefault="00EF701A">
      <w:pPr>
        <w:rPr>
          <w:color w:val="0A2F41" w:themeColor="accent1" w:themeShade="80"/>
        </w:rPr>
      </w:pPr>
    </w:p>
    <w:p w:rsidR="00EF701A" w:rsidRDefault="00BA3795" w:rsidP="00BA3795">
      <w:pPr>
        <w:pStyle w:val="paragraphstyle"/>
      </w:pPr>
      <w:r>
        <w:t>Ky shërbim përfshin ndërtimin, mirëmbajtjen dhe sinjalizimin e sistemeve rrugore dhe strukturave të transportit, duke përfshirë rrugët, urat, tunelët, parkimet, terminalet e autobusëve, rrugët këmbësore dhe korsitë për biçikleta, nën administrimin dhe përgjegjësinë e njësisë së vetëqeverisjes vendore. Ai përfshin gjithashtu kryerjen e studimeve për rehabilitimin, përmirësimin dhe ndërtimin e rrugëve të reja, si dhe marrjen e masave për lehtësimin e trafikut dhe kontrollin e rrjetit rrugor rural të njësisë.</w:t>
      </w:r>
    </w:p>
    <w:p w:rsidR="00EF701A" w:rsidRDefault="00EF701A" w:rsidP="00BA3795">
      <w:pPr>
        <w:pStyle w:val="paragraphstyle"/>
      </w:pPr>
    </w:p>
    <w:p w:rsidR="00EF701A" w:rsidRDefault="00BA3795" w:rsidP="00BA3795">
      <w:pPr>
        <w:pStyle w:val="paragraphstyle"/>
        <w:sectPr w:rsidR="00EF701A" w:rsidSect="00BA3795">
          <w:headerReference w:type="even" r:id="rId106"/>
          <w:footerReference w:type="even" r:id="rId107"/>
          <w:footerReference w:type="default" r:id="rId108"/>
          <w:headerReference w:type="first" r:id="rId109"/>
          <w:footerReference w:type="first" r:id="rId110"/>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700224" behindDoc="0" locked="0" layoutInCell="1" allowOverlap="1" wp14:anchorId="6CC64A3B" wp14:editId="0E1AABC7">
                <wp:simplePos x="0" y="0"/>
                <wp:positionH relativeFrom="margin">
                  <wp:align>right</wp:align>
                </wp:positionH>
                <wp:positionV relativeFrom="paragraph">
                  <wp:posOffset>445135</wp:posOffset>
                </wp:positionV>
                <wp:extent cx="5925185" cy="3346450"/>
                <wp:effectExtent l="0" t="0" r="0" b="6350"/>
                <wp:wrapSquare wrapText="bothSides"/>
                <wp:docPr id="15719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77F8BD4F" wp14:editId="1C837B42">
                                  <wp:extent cx="5730000" cy="3260000"/>
                                  <wp:effectExtent l="0" t="0" r="0" b="0"/>
                                  <wp:docPr id="2137324625" name="Picture 21373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1"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64A3B" id="_x0000_s1040" type="#_x0000_t202" style="position:absolute;left:0;text-align:left;margin-left:415.35pt;margin-top:35.05pt;width:466.55pt;height:263.5pt;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AsJ6YJ&#10;SwIAANY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77F8BD4F" wp14:editId="1C837B42">
                            <wp:extent cx="5730000" cy="3260000"/>
                            <wp:effectExtent l="0" t="0" r="0" b="0"/>
                            <wp:docPr id="2137324625" name="Picture 21373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1"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480"/>
        <w:gridCol w:w="2847"/>
        <w:gridCol w:w="1228"/>
        <w:gridCol w:w="1236"/>
        <w:gridCol w:w="1236"/>
        <w:gridCol w:w="1236"/>
        <w:gridCol w:w="1339"/>
        <w:gridCol w:w="1348"/>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Mirëmbajtja e rrjetit rrugor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rrjetit rrugor të mirëmbajtur ndaj rrjetit rrugor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27.73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28.6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rrjetit rrugor qytetas dhe ndërqytetas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rrjetit rrugor të shtruar (asfaltuar ose me çakull)  ndaj rrjetit rrugor total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rrugor i pajisur me sinjalistikë rrugore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Pjesa e rrjetit rrugor e pajisur me sinjalistikë rrugore ndaj rrjetit rrugor total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6.93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5.63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Efiçienca e alokimit të buxhetit për përmirësimin e infrastrukturës rrugore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Buxheti në Lekë i shpenzuar për menaxhimin e rrjetit rrugor kundrejt rrjetit rrugor në km (lekë për 1 km rrugë)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401126.52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389172.44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984012.13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910931.54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1118383.88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1153275.56</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rsidP="00BA3795">
      <w:pPr>
        <w:rPr>
          <w:rFonts w:cs="Times New Roman"/>
        </w:rPr>
      </w:pPr>
    </w:p>
    <w:p w:rsidR="00EF701A" w:rsidRDefault="00EF701A"/>
    <w:p w:rsidR="00EF701A" w:rsidRDefault="00BA3795" w:rsidP="00BA3795">
      <w:pPr>
        <w:pStyle w:val="indicatorNameStyle"/>
        <w:numPr>
          <w:ilvl w:val="0"/>
          <w:numId w:val="3"/>
        </w:numPr>
      </w:pPr>
      <w:r>
        <w:t>Mirëmbajtja e rrjetit rrugor</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Raporti në % i rrjetit rrugor të mirëmbajtur ndaj rrjetit rrugor total</w:t>
            </w:r>
          </w:p>
        </w:tc>
      </w:tr>
    </w:tbl>
    <w:p w:rsidR="00EF701A" w:rsidRDefault="00BA3795">
      <w:pPr>
        <w:pStyle w:val="NormalWeb"/>
        <w:divId w:val="249240198"/>
      </w:pPr>
      <w:r>
        <w:t xml:space="preserve">Në bashkinë Roskovec, raporti në përqindje i rrjetit rrugor të mirëmbajtur ndaj rrjetit rrugor total ka treguar një trend pozitiv gjatë viteve të fundit. Në </w:t>
      </w:r>
      <w:r>
        <w:rPr>
          <w:rStyle w:val="Strong"/>
          <w:rFonts w:eastAsiaTheme="majorEastAsia"/>
        </w:rPr>
        <w:t>2021</w:t>
      </w:r>
      <w:r>
        <w:t xml:space="preserve">, vetëm </w:t>
      </w:r>
      <w:r>
        <w:rPr>
          <w:rStyle w:val="Strong"/>
          <w:rFonts w:eastAsiaTheme="majorEastAsia"/>
        </w:rPr>
        <w:t>20.36%</w:t>
      </w:r>
      <w:r>
        <w:t xml:space="preserve"> e rrjetit rrugor ishte i mirëmbajtur. Viti pasardhës, </w:t>
      </w:r>
      <w:r>
        <w:rPr>
          <w:rStyle w:val="Strong"/>
          <w:rFonts w:eastAsiaTheme="majorEastAsia"/>
        </w:rPr>
        <w:t>2022</w:t>
      </w:r>
      <w:r>
        <w:t xml:space="preserve">, pati një rritje në </w:t>
      </w:r>
      <w:r>
        <w:rPr>
          <w:rStyle w:val="Strong"/>
          <w:rFonts w:eastAsiaTheme="majorEastAsia"/>
        </w:rPr>
        <w:t>23.4%</w:t>
      </w:r>
      <w:r>
        <w:t xml:space="preserve">, duke treguar një përmirësim të dukshëm në infrastrukturë. Ky përparim vazhdoi në </w:t>
      </w:r>
      <w:r>
        <w:rPr>
          <w:rStyle w:val="Strong"/>
          <w:rFonts w:eastAsiaTheme="majorEastAsia"/>
        </w:rPr>
        <w:t>2023</w:t>
      </w:r>
      <w:r>
        <w:t xml:space="preserve">, kur raporti arriti në </w:t>
      </w:r>
      <w:r>
        <w:rPr>
          <w:rStyle w:val="Strong"/>
          <w:rFonts w:eastAsiaTheme="majorEastAsia"/>
        </w:rPr>
        <w:t>26%</w:t>
      </w:r>
      <w:r>
        <w:t xml:space="preserve">. Në </w:t>
      </w:r>
      <w:r>
        <w:rPr>
          <w:rStyle w:val="Strong"/>
          <w:rFonts w:eastAsiaTheme="majorEastAsia"/>
        </w:rPr>
        <w:t>2024</w:t>
      </w:r>
      <w:r>
        <w:t xml:space="preserve">, përqindja vazhdoi të rritet, duke arritur në </w:t>
      </w:r>
      <w:r>
        <w:rPr>
          <w:rStyle w:val="Strong"/>
          <w:rFonts w:eastAsiaTheme="majorEastAsia"/>
        </w:rPr>
        <w:t>27.73%</w:t>
      </w:r>
      <w:r>
        <w:t xml:space="preserve">. Viti </w:t>
      </w:r>
      <w:r>
        <w:rPr>
          <w:rStyle w:val="Strong"/>
          <w:rFonts w:eastAsiaTheme="majorEastAsia"/>
        </w:rPr>
        <w:t>2025</w:t>
      </w:r>
      <w:r>
        <w:t xml:space="preserve"> shënoi një rritje modeste në </w:t>
      </w:r>
      <w:r>
        <w:rPr>
          <w:rStyle w:val="Strong"/>
          <w:rFonts w:eastAsiaTheme="majorEastAsia"/>
        </w:rPr>
        <w:t>28.16%</w:t>
      </w:r>
      <w:r>
        <w:t xml:space="preserve">. Parashikimi për </w:t>
      </w:r>
      <w:r>
        <w:rPr>
          <w:rStyle w:val="Strong"/>
          <w:rFonts w:eastAsiaTheme="majorEastAsia"/>
        </w:rPr>
        <w:t>2026</w:t>
      </w:r>
      <w:r>
        <w:t xml:space="preserve"> tregon se raporti do të arrijë </w:t>
      </w:r>
      <w:r>
        <w:rPr>
          <w:rStyle w:val="Strong"/>
          <w:rFonts w:eastAsiaTheme="majorEastAsia"/>
        </w:rPr>
        <w:t>28.6%</w:t>
      </w:r>
      <w:r>
        <w:t>, një shifër që vazhdon prirjen pozitive të rritjes. Këto të dhëna tregojnë një angazhim të vazhdueshëm të autoriteteve për përmirësimin e infrastrukturës rrugore. Procesi i mirëmbajtjes së rrugëve është një hap i rëndësishëm drejt zhvillimit ekonomik dhe cilësisë së jetesës së banorëve. Ky progres në rrjetin rrugor është një tregues i rritjes së investimeve dhe menaxhimit efektiv nga ana e bashkisë. Në përgjithësi, kjo rritje e përqindjes së rrugëve të mirëmbajtura reflekton përkushtimin për zhvillim dhe përmirësim të vazhdueshëm të infrastrukturës në Roskovec.</w:t>
      </w:r>
    </w:p>
    <w:p w:rsidR="00EF701A" w:rsidRDefault="00EF701A" w:rsidP="00BA3795"/>
    <w:p w:rsidR="00EF701A" w:rsidRDefault="00BA3795">
      <w:r>
        <w:rPr>
          <w:noProof/>
        </w:rPr>
        <w:drawing>
          <wp:inline distT="0" distB="0" distL="0" distR="0" wp14:anchorId="303CABF7" wp14:editId="229DDED3">
            <wp:extent cx="5486400" cy="3200400"/>
            <wp:effectExtent l="0" t="0" r="0" b="0"/>
            <wp:docPr id="2043347730" name="Chart 20433477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EF701A" w:rsidRDefault="00EF701A" w:rsidP="00BA3795"/>
    <w:p w:rsidR="00EF701A" w:rsidRDefault="00EF701A" w:rsidP="00BA3795"/>
    <w:p w:rsidR="00EF701A" w:rsidRDefault="00EF701A"/>
    <w:p w:rsidR="00EF701A" w:rsidRDefault="00BA3795" w:rsidP="00BA3795">
      <w:pPr>
        <w:pStyle w:val="indicatorNameStyle"/>
        <w:numPr>
          <w:ilvl w:val="0"/>
          <w:numId w:val="3"/>
        </w:numPr>
      </w:pPr>
      <w:r>
        <w:t>Përmirësimi i  rrjetit rrugor qytetas dhe ndërqytetas</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Raporti në % i rrjetit rrugor të shtruar (asfaltuar ose me çakull)  ndaj rrjetit rrugor total të bashkisë</w:t>
            </w:r>
          </w:p>
        </w:tc>
      </w:tr>
    </w:tbl>
    <w:p w:rsidR="00EF701A" w:rsidRDefault="00BA3795">
      <w:pPr>
        <w:pStyle w:val="NormalWeb"/>
        <w:divId w:val="1141769119"/>
      </w:pPr>
      <w:r>
        <w:t xml:space="preserve">Raporti i rrjetit rrugor të shtruar në bashkinë Roskovec ka pësuar ndryshime gjatë viteve të fundit. Në vitin </w:t>
      </w:r>
      <w:r>
        <w:rPr>
          <w:rStyle w:val="Strong"/>
          <w:rFonts w:eastAsiaTheme="majorEastAsia"/>
        </w:rPr>
        <w:t>2021</w:t>
      </w:r>
      <w:r>
        <w:t xml:space="preserve">, përqindja e rrjetit rrugor të shtruar ishte </w:t>
      </w:r>
      <w:r>
        <w:rPr>
          <w:rStyle w:val="Strong"/>
          <w:rFonts w:eastAsiaTheme="majorEastAsia"/>
        </w:rPr>
        <w:t>5.42%</w:t>
      </w:r>
      <w:r>
        <w:t xml:space="preserve">. Ky nivel ra në </w:t>
      </w:r>
      <w:r>
        <w:rPr>
          <w:rStyle w:val="Strong"/>
          <w:rFonts w:eastAsiaTheme="majorEastAsia"/>
        </w:rPr>
        <w:t>4.77%</w:t>
      </w:r>
      <w:r>
        <w:t xml:space="preserve"> në vitin </w:t>
      </w:r>
      <w:r>
        <w:rPr>
          <w:rStyle w:val="Strong"/>
          <w:rFonts w:eastAsiaTheme="majorEastAsia"/>
        </w:rPr>
        <w:t>2022</w:t>
      </w:r>
      <w:r>
        <w:t xml:space="preserve">, duke treguar një rënie të theksuar. Megjithatë, në vitin </w:t>
      </w:r>
      <w:r>
        <w:rPr>
          <w:rStyle w:val="Strong"/>
          <w:rFonts w:eastAsiaTheme="majorEastAsia"/>
        </w:rPr>
        <w:t>2023</w:t>
      </w:r>
      <w:r>
        <w:t xml:space="preserve"> u pa një rimëkëmbje, me përqindjen që u ngjit në </w:t>
      </w:r>
      <w:r>
        <w:rPr>
          <w:rStyle w:val="Strong"/>
          <w:rFonts w:eastAsiaTheme="majorEastAsia"/>
        </w:rPr>
        <w:t>5.63%</w:t>
      </w:r>
      <w:r>
        <w:t xml:space="preserve">. Për vitet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raporti parashikohet të jetë i qëndrueshëm në </w:t>
      </w:r>
      <w:r>
        <w:rPr>
          <w:rStyle w:val="Strong"/>
          <w:rFonts w:eastAsiaTheme="majorEastAsia"/>
        </w:rPr>
        <w:t>6.5%</w:t>
      </w:r>
      <w:r>
        <w:t xml:space="preserve">. Ky stabilitet tregon përpjekje të bashkisë për të përmirësuar infrastrukturën rrugore. Rritja nga viti </w:t>
      </w:r>
      <w:r>
        <w:rPr>
          <w:rStyle w:val="Strong"/>
          <w:rFonts w:eastAsiaTheme="majorEastAsia"/>
        </w:rPr>
        <w:t>2023</w:t>
      </w:r>
      <w:r>
        <w:t xml:space="preserve"> deri në </w:t>
      </w:r>
      <w:r>
        <w:rPr>
          <w:rStyle w:val="Strong"/>
          <w:rFonts w:eastAsiaTheme="majorEastAsia"/>
        </w:rPr>
        <w:t>2024</w:t>
      </w:r>
      <w:r>
        <w:t xml:space="preserve"> është domethënëse, me një rritje prej </w:t>
      </w:r>
      <w:r>
        <w:rPr>
          <w:rStyle w:val="Strong"/>
          <w:rFonts w:eastAsiaTheme="majorEastAsia"/>
        </w:rPr>
        <w:t>0.87%</w:t>
      </w:r>
      <w:r>
        <w:t xml:space="preserve">. Një qëndrueshmëri në </w:t>
      </w:r>
      <w:r>
        <w:rPr>
          <w:rStyle w:val="Strong"/>
          <w:rFonts w:eastAsiaTheme="majorEastAsia"/>
        </w:rPr>
        <w:t>6.5%</w:t>
      </w:r>
      <w:r>
        <w:t xml:space="preserve"> pas vitit </w:t>
      </w:r>
      <w:r>
        <w:rPr>
          <w:rStyle w:val="Strong"/>
          <w:rFonts w:eastAsiaTheme="majorEastAsia"/>
        </w:rPr>
        <w:t>2023</w:t>
      </w:r>
      <w:r>
        <w:t xml:space="preserve"> është pozitive dhe tregon përqasje sistematike ndaj zhvillimit rrugor. Këto të dhëna janë faktorë kyç për planifikimin urban dhe përmirësimin e aksesit për banorët. Strategjitë e ndjekura kanë sjellë një përmirësim të dukshëm në cilësinë e rrugëve të bashkisë.</w:t>
      </w:r>
    </w:p>
    <w:p w:rsidR="00EF701A" w:rsidRDefault="00EF701A" w:rsidP="00BA3795"/>
    <w:p w:rsidR="00EF701A" w:rsidRDefault="00BA3795">
      <w:r>
        <w:rPr>
          <w:noProof/>
        </w:rPr>
        <w:drawing>
          <wp:inline distT="0" distB="0" distL="0" distR="0" wp14:anchorId="1D7A120E" wp14:editId="6F136EE9">
            <wp:extent cx="5486400" cy="3200400"/>
            <wp:effectExtent l="0" t="0" r="0" b="0"/>
            <wp:docPr id="1274375923" name="Chart 1274375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EF701A" w:rsidRDefault="00EF701A"/>
    <w:p w:rsidR="00EF701A" w:rsidRDefault="00BA3795" w:rsidP="00BA3795">
      <w:pPr>
        <w:pStyle w:val="indicatorNameStyle"/>
        <w:numPr>
          <w:ilvl w:val="0"/>
          <w:numId w:val="3"/>
        </w:numPr>
      </w:pPr>
      <w:r>
        <w:t>Rrjet rrugor i pajisur me sinjalistikë rrugore</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t>Pjesa e rrjetit rrugor e pajisur me sinjalistikë rrugore ndaj rrjetit rrugor total (në %)</w:t>
            </w:r>
          </w:p>
        </w:tc>
      </w:tr>
    </w:tbl>
    <w:p w:rsidR="00EF701A" w:rsidRDefault="00BA3795">
      <w:pPr>
        <w:pStyle w:val="NormalWeb"/>
        <w:divId w:val="406463652"/>
      </w:pPr>
      <w:r>
        <w:t xml:space="preserve">Të dhënat e paraqitura përfaqësojnë pjesën e rrjetit rrugor të bashkisë Roskovec që është e pajisur me sinjalistikë rrugore në raport me rrjetin rrugor total, dhe shprehen në përqindje. Në </w:t>
      </w:r>
      <w:r>
        <w:rPr>
          <w:rStyle w:val="Strong"/>
          <w:rFonts w:eastAsiaTheme="majorEastAsia"/>
        </w:rPr>
        <w:t>2021</w:t>
      </w:r>
      <w:r>
        <w:t xml:space="preserve">, kjo përqindje ishte </w:t>
      </w:r>
      <w:r>
        <w:rPr>
          <w:rStyle w:val="Strong"/>
          <w:rFonts w:eastAsiaTheme="majorEastAsia"/>
        </w:rPr>
        <w:t>6.93%</w:t>
      </w:r>
      <w:r>
        <w:t xml:space="preserve">, duke shënuar kulmin më të lartë për periudhën e dhënë. Në </w:t>
      </w:r>
      <w:r>
        <w:rPr>
          <w:rStyle w:val="Strong"/>
          <w:rFonts w:eastAsiaTheme="majorEastAsia"/>
        </w:rPr>
        <w:t>2022</w:t>
      </w:r>
      <w:r>
        <w:t xml:space="preserve">, ka një rënie të dukshme në </w:t>
      </w:r>
      <w:r>
        <w:rPr>
          <w:rStyle w:val="Strong"/>
          <w:rFonts w:eastAsiaTheme="majorEastAsia"/>
        </w:rPr>
        <w:t>5.2%</w:t>
      </w:r>
      <w:r>
        <w:t xml:space="preserve">, e cila mund të tregojë një mungesë investimi ose mirëmbajtjeje për atë vit. Një përmirësim i lehtë pason në </w:t>
      </w:r>
      <w:r>
        <w:rPr>
          <w:rStyle w:val="Strong"/>
          <w:rFonts w:eastAsiaTheme="majorEastAsia"/>
        </w:rPr>
        <w:t>2023</w:t>
      </w:r>
      <w:r>
        <w:t xml:space="preserve">, kur përqindja rritet në </w:t>
      </w:r>
      <w:r>
        <w:rPr>
          <w:rStyle w:val="Strong"/>
          <w:rFonts w:eastAsiaTheme="majorEastAsia"/>
        </w:rPr>
        <w:t>6.5%</w:t>
      </w:r>
      <w:r>
        <w:t xml:space="preserve">. Në </w:t>
      </w:r>
      <w:r>
        <w:rPr>
          <w:rStyle w:val="Strong"/>
          <w:rFonts w:eastAsiaTheme="majorEastAsia"/>
        </w:rPr>
        <w:t>2024</w:t>
      </w:r>
      <w:r>
        <w:t xml:space="preserve">, vlera bie në </w:t>
      </w:r>
      <w:r>
        <w:rPr>
          <w:rStyle w:val="Strong"/>
          <w:rFonts w:eastAsiaTheme="majorEastAsia"/>
        </w:rPr>
        <w:t>4.33%</w:t>
      </w:r>
      <w:r>
        <w:t xml:space="preserve">, që shënon pikën më të ulët të vlerave të regjistruara. Ky luhatje mund të reflektojë sfida financiare ose prioritete të tjera të infrastrukturës që kanë ndikuar në përmirësimin e sinjalistikës rrugore. Në </w:t>
      </w:r>
      <w:r>
        <w:rPr>
          <w:rStyle w:val="Strong"/>
          <w:rFonts w:eastAsiaTheme="majorEastAsia"/>
        </w:rPr>
        <w:t>2025</w:t>
      </w:r>
      <w:r>
        <w:t xml:space="preserve">, përqindja ngrihet përsëri në </w:t>
      </w:r>
      <w:r>
        <w:rPr>
          <w:rStyle w:val="Strong"/>
          <w:rFonts w:eastAsiaTheme="majorEastAsia"/>
        </w:rPr>
        <w:t>5.2%</w:t>
      </w:r>
      <w:r>
        <w:t xml:space="preserve">, duke treguar përpjekje për rikuperim. Në </w:t>
      </w:r>
      <w:r>
        <w:rPr>
          <w:rStyle w:val="Strong"/>
          <w:rFonts w:eastAsiaTheme="majorEastAsia"/>
        </w:rPr>
        <w:t>2026</w:t>
      </w:r>
      <w:r>
        <w:t xml:space="preserve">, vlera është </w:t>
      </w:r>
      <w:r>
        <w:rPr>
          <w:rStyle w:val="Strong"/>
          <w:rFonts w:eastAsiaTheme="majorEastAsia"/>
        </w:rPr>
        <w:t>5.63%</w:t>
      </w:r>
      <w:r>
        <w:t>, e cila mund të reflektojë një trend drejt një stabilizimi të përmirësimeve. Ky pattern tregon një mungesë të qëndrueshmërisë në investimet për sinjalistikën rrugore në bashki. Për të përmirësuar efikasitetin e rrjetit rrugor, fokusimi në strategji zhvillimi të qëndrueshme është i nevojshëm.</w:t>
      </w:r>
    </w:p>
    <w:p w:rsidR="00EF701A" w:rsidRDefault="00EF701A" w:rsidP="00BA3795"/>
    <w:p w:rsidR="00EF701A" w:rsidRDefault="00BA3795">
      <w:r>
        <w:rPr>
          <w:noProof/>
        </w:rPr>
        <w:drawing>
          <wp:inline distT="0" distB="0" distL="0" distR="0" wp14:anchorId="5792D9F4" wp14:editId="37C0427A">
            <wp:extent cx="5486400" cy="3200400"/>
            <wp:effectExtent l="0" t="0" r="0" b="0"/>
            <wp:docPr id="1497324657" name="Chart 14973246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EF701A" w:rsidRDefault="00EF701A"/>
    <w:p w:rsidR="00EF701A" w:rsidRDefault="00BA3795" w:rsidP="00BA3795">
      <w:pPr>
        <w:pStyle w:val="indicatorNameStyle"/>
        <w:numPr>
          <w:ilvl w:val="0"/>
          <w:numId w:val="3"/>
        </w:numPr>
      </w:pPr>
      <w:r>
        <w:t>Efiçienca e alokimit të buxhetit për përmirësimin e infrastrukturës rrugore</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DB2B53">
            <w:pPr>
              <w:pStyle w:val="StyleofText"/>
              <w:ind w:left="360"/>
            </w:pPr>
            <w:r>
              <w:lastRenderedPageBreak/>
              <w:t>Buxheti në Lekë i shpenzuar për menaxhimin e rrjetit rrugor kundrejt rrjetit rrugor në km (lekë për 1 km rrugë)</w:t>
            </w:r>
          </w:p>
        </w:tc>
      </w:tr>
    </w:tbl>
    <w:p w:rsidR="00EF701A" w:rsidRDefault="00BA3795">
      <w:pPr>
        <w:pStyle w:val="NormalWeb"/>
        <w:divId w:val="1901865419"/>
      </w:pPr>
      <w:r>
        <w:t xml:space="preserve">Të dhënat për shpenzimet e menaxhimit të rrjetit rrugor për Bashkinë Roskovec tregojnë trende interesante përgjatë viteve </w:t>
      </w:r>
      <w:r>
        <w:rPr>
          <w:rStyle w:val="Strong"/>
          <w:rFonts w:eastAsiaTheme="majorEastAsia"/>
        </w:rPr>
        <w:t>2021-2026</w:t>
      </w:r>
      <w:r>
        <w:t xml:space="preserve">. Në vitin </w:t>
      </w:r>
      <w:r>
        <w:rPr>
          <w:rStyle w:val="Strong"/>
          <w:rFonts w:eastAsiaTheme="majorEastAsia"/>
        </w:rPr>
        <w:t>2021</w:t>
      </w:r>
      <w:r>
        <w:t xml:space="preserve">, buxheti për çdo kilometër rrugë ishte </w:t>
      </w:r>
      <w:r>
        <w:rPr>
          <w:rStyle w:val="Strong"/>
          <w:rFonts w:eastAsiaTheme="majorEastAsia"/>
        </w:rPr>
        <w:t>401126.52</w:t>
      </w:r>
      <w:r>
        <w:t xml:space="preserve"> lekë. Kjo shifër pësoi një ulje të lehtë në vitin </w:t>
      </w:r>
      <w:r>
        <w:rPr>
          <w:rStyle w:val="Strong"/>
          <w:rFonts w:eastAsiaTheme="majorEastAsia"/>
        </w:rPr>
        <w:t>2022</w:t>
      </w:r>
      <w:r>
        <w:t xml:space="preserve">, duke arritur në </w:t>
      </w:r>
      <w:r>
        <w:rPr>
          <w:rStyle w:val="Strong"/>
          <w:rFonts w:eastAsiaTheme="majorEastAsia"/>
        </w:rPr>
        <w:t>389172.44</w:t>
      </w:r>
      <w:r>
        <w:t xml:space="preserve"> lekë për kilometër. Megjithatë, në </w:t>
      </w:r>
      <w:r>
        <w:rPr>
          <w:rStyle w:val="Strong"/>
          <w:rFonts w:eastAsiaTheme="majorEastAsia"/>
        </w:rPr>
        <w:t>2023</w:t>
      </w:r>
      <w:r>
        <w:t xml:space="preserve"> u vu re një rritje e konsiderueshme, me buxhetin që arriti në </w:t>
      </w:r>
      <w:r>
        <w:rPr>
          <w:rStyle w:val="Strong"/>
          <w:rFonts w:eastAsiaTheme="majorEastAsia"/>
        </w:rPr>
        <w:t>984012.13</w:t>
      </w:r>
      <w:r>
        <w:t xml:space="preserve"> lekë për kilometër. Në vitin </w:t>
      </w:r>
      <w:r>
        <w:rPr>
          <w:rStyle w:val="Strong"/>
          <w:rFonts w:eastAsiaTheme="majorEastAsia"/>
        </w:rPr>
        <w:t>2024</w:t>
      </w:r>
      <w:r>
        <w:t xml:space="preserve"> kishte një ulje të lehtë në </w:t>
      </w:r>
      <w:r>
        <w:rPr>
          <w:rStyle w:val="Strong"/>
          <w:rFonts w:eastAsiaTheme="majorEastAsia"/>
        </w:rPr>
        <w:t>910931.54</w:t>
      </w:r>
      <w:r>
        <w:t xml:space="preserve"> lekë për km, por shpenzimet sërish u rritën në </w:t>
      </w:r>
      <w:r>
        <w:rPr>
          <w:rStyle w:val="Strong"/>
          <w:rFonts w:eastAsiaTheme="majorEastAsia"/>
        </w:rPr>
        <w:t>2025</w:t>
      </w:r>
      <w:r>
        <w:t xml:space="preserve"> në </w:t>
      </w:r>
      <w:r>
        <w:rPr>
          <w:rStyle w:val="Strong"/>
          <w:rFonts w:eastAsiaTheme="majorEastAsia"/>
        </w:rPr>
        <w:t>1118383.88</w:t>
      </w:r>
      <w:r>
        <w:t xml:space="preserve"> lekë për kilometër. Viti </w:t>
      </w:r>
      <w:r>
        <w:rPr>
          <w:rStyle w:val="Strong"/>
          <w:rFonts w:eastAsiaTheme="majorEastAsia"/>
        </w:rPr>
        <w:t>2026</w:t>
      </w:r>
      <w:r>
        <w:t xml:space="preserve"> shënonte vlerën më të lartë, me </w:t>
      </w:r>
      <w:r>
        <w:rPr>
          <w:rStyle w:val="Strong"/>
          <w:rFonts w:eastAsiaTheme="majorEastAsia"/>
        </w:rPr>
        <w:t>1153275.56</w:t>
      </w:r>
      <w:r>
        <w:t xml:space="preserve"> lekë për kilometër rrugë. Kjo rritje e shpejtë nga </w:t>
      </w:r>
      <w:r>
        <w:rPr>
          <w:rStyle w:val="Strong"/>
          <w:rFonts w:eastAsiaTheme="majorEastAsia"/>
        </w:rPr>
        <w:t>2021</w:t>
      </w:r>
      <w:r>
        <w:t xml:space="preserve"> në </w:t>
      </w:r>
      <w:r>
        <w:rPr>
          <w:rStyle w:val="Strong"/>
          <w:rFonts w:eastAsiaTheme="majorEastAsia"/>
        </w:rPr>
        <w:t>2026</w:t>
      </w:r>
      <w:r>
        <w:t xml:space="preserve"> sugjeron një fokus në përmirësimin e rrjetit rrugor ose rritjen e kostove të menaxhimit. Sa i përket politikave të menaxhimit rrugor, është e qartë se bashkia ka investuar më shumë fonde. Këto ndryshime të buxhetit mund të jenë pasojë e zhvillimeve infrastrukturore ose prioriteteve të reja të vendosura nga bashkia. Trendi rritës i këtyre viteve tregon një angazhim të fortë për mirëmbajtjen dhe zhvillimin e rrjetit rrugor në Roskovec.</w:t>
      </w:r>
    </w:p>
    <w:p w:rsidR="00EF701A" w:rsidRDefault="00EF701A" w:rsidP="00BA3795"/>
    <w:p w:rsidR="00EF701A" w:rsidRDefault="00BA3795">
      <w:r>
        <w:rPr>
          <w:noProof/>
        </w:rPr>
        <w:drawing>
          <wp:inline distT="0" distB="0" distL="0" distR="0" wp14:anchorId="65C31E2E" wp14:editId="0969BF14">
            <wp:extent cx="5486400" cy="3200400"/>
            <wp:effectExtent l="0" t="0" r="0" b="0"/>
            <wp:docPr id="986009419" name="Chart 986009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EF701A" w:rsidRDefault="00EF701A" w:rsidP="00BA3795"/>
    <w:p w:rsidR="00EF701A" w:rsidRDefault="00EF701A" w:rsidP="00BA3795"/>
    <w:p w:rsidR="00EF701A" w:rsidRDefault="00EF701A" w:rsidP="00BA3795"/>
    <w:p w:rsidR="00EF701A" w:rsidRDefault="00EF701A" w:rsidP="00BA3795">
      <w:pPr>
        <w:rPr>
          <w:rFonts w:cs="Times New Roman"/>
        </w:rPr>
      </w:pP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422"/>
        <w:gridCol w:w="1176"/>
        <w:gridCol w:w="1176"/>
        <w:gridCol w:w="1288"/>
        <w:gridCol w:w="1296"/>
        <w:gridCol w:w="1296"/>
        <w:gridCol w:w="12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linjave interurbane të transportit publik</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linjave urbane të transportit publik</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Rrjeti rrugor në km linear në total (rural/urban)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230.8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Gjatësia e rrjetit rrugor urban nën administrimin e bashkisë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34.5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Gjatësia e rrjetit rrugor rural nën administrimin e bashkisë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196.3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automjeteve të transportit publik urban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automjeteve të transportit publik ndërurban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për shërbimin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 për menaxhimin e rrjetit rrugor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92580000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89821000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227110000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210243000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258123000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266176000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Gjatësia në km e rrjetit rrugor të mirëmbajtur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Rrjet rrugor i pajisur me sinjalistikë rrugore (në km)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Gjatësia në km e rrjetit rrugor të shtruar (asfaltuar ose me çakull)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Ura të mirëmbajtura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Ura të reja ose rikonstruktuara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BA3795">
      <w:pPr>
        <w:pStyle w:val="dataNameStyle"/>
      </w:pPr>
      <w:r>
        <w:t>Numri i automjeteve të transportit publik ndërurban</w:t>
      </w:r>
    </w:p>
    <w:p w:rsidR="00EF701A" w:rsidRDefault="00BA3795">
      <w:pPr>
        <w:pStyle w:val="NormalWeb"/>
        <w:divId w:val="259799376"/>
      </w:pPr>
      <w:r>
        <w:t xml:space="preserve">Të dhënat për numrin e automjeteve të transportit publik ndërurban në Bashkinë Roskovec tregojnë një stabilitet të dukshëm gjatë viteve të analizuara. Në vitin </w:t>
      </w:r>
      <w:r>
        <w:rPr>
          <w:rStyle w:val="Strong"/>
          <w:rFonts w:eastAsiaTheme="majorEastAsia"/>
        </w:rPr>
        <w:t>2021</w:t>
      </w:r>
      <w:r>
        <w:t xml:space="preserve">, numri i automjeteve ishte </w:t>
      </w:r>
      <w:r>
        <w:rPr>
          <w:rStyle w:val="Strong"/>
          <w:rFonts w:eastAsiaTheme="majorEastAsia"/>
        </w:rPr>
        <w:t>9</w:t>
      </w:r>
      <w:r>
        <w:t xml:space="preserve">. Ky numër mbeti konstant në vitin </w:t>
      </w:r>
      <w:r>
        <w:rPr>
          <w:rStyle w:val="Strong"/>
          <w:rFonts w:eastAsiaTheme="majorEastAsia"/>
        </w:rPr>
        <w:t>2022</w:t>
      </w:r>
      <w:r>
        <w:t xml:space="preserve">, duke treguar se nuk pati ndonjë ndryshim në kapacitetin e transportit ndërurban. Edhe në vitin </w:t>
      </w:r>
      <w:r>
        <w:rPr>
          <w:rStyle w:val="Strong"/>
          <w:rFonts w:eastAsiaTheme="majorEastAsia"/>
        </w:rPr>
        <w:t>2023</w:t>
      </w:r>
      <w:r>
        <w:t xml:space="preserve">, numri i automjeteve vazhdoi të ishte </w:t>
      </w:r>
      <w:r>
        <w:rPr>
          <w:rStyle w:val="Strong"/>
          <w:rFonts w:eastAsiaTheme="majorEastAsia"/>
        </w:rPr>
        <w:t>9</w:t>
      </w:r>
      <w:r>
        <w:t xml:space="preserve">, reflektim i mungesës së ndryshimeve ose investimeve të reja në këtë sektor. Parashikimet për vitet e ardhshme,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gjithashtu tregojnë një numër të pandryshuar prej </w:t>
      </w:r>
      <w:r>
        <w:rPr>
          <w:rStyle w:val="Strong"/>
          <w:rFonts w:eastAsiaTheme="majorEastAsia"/>
        </w:rPr>
        <w:t>9</w:t>
      </w:r>
      <w:r>
        <w:t xml:space="preserve"> automjetesh. Ky qëndrueshmëri mund të nënkuptojë mungesë nevoje për zgjerim ose përmirësime të infrastrukturës ekzistuese të transportit publik. Një mundësi tjetër është që kërkesa për transport publik ndërurban në këtë zonë është relativisht e qëndrueshme. Një numër konstant i automjeteve mund të reflektojë një ekuilibër midis ofrimit të shërbimit dhe kërkesës së pasagjerëve. Për të kuptuar më mirë arsyet pas këtij numri konstant, do të ishte e dobishme të analizoheshin faktorë të tjerë ekonomikë dhe demografikë në zonë. Në përgjithësi, situata tregon stabilitetin e sektorit të transportit publik ndërurban në Bashkinë Roskovec gjatë kësaj periudhe kohore.</w:t>
      </w:r>
    </w:p>
    <w:p w:rsidR="00EF701A" w:rsidRDefault="00EF701A" w:rsidP="00BA3795"/>
    <w:p w:rsidR="00EF701A" w:rsidRDefault="00BA3795" w:rsidP="00BA3795">
      <w:r>
        <w:rPr>
          <w:noProof/>
        </w:rPr>
        <w:drawing>
          <wp:inline distT="0" distB="0" distL="0" distR="0" wp14:anchorId="38D4191D" wp14:editId="3BD445E0">
            <wp:extent cx="5486400" cy="3200400"/>
            <wp:effectExtent l="0" t="0" r="0" b="0"/>
            <wp:docPr id="28178782" name="Chart 28178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EF701A" w:rsidRDefault="00EF701A" w:rsidP="00BA3795"/>
    <w:p w:rsidR="00EF701A" w:rsidRDefault="00EF701A"/>
    <w:p w:rsidR="00EF701A" w:rsidRDefault="00BA3795" w:rsidP="00DB2B53">
      <w:pPr>
        <w:pStyle w:val="dataNameStyle"/>
      </w:pPr>
      <w:r>
        <w:lastRenderedPageBreak/>
        <w:t>S</w:t>
      </w:r>
      <w:r w:rsidR="00533960">
        <w:t>hpenzime për menaxhimin e rrjetit rrugor (në lekë)</w:t>
      </w:r>
    </w:p>
    <w:p w:rsidR="00EF701A" w:rsidRDefault="00BA3795">
      <w:pPr>
        <w:pStyle w:val="NormalWeb"/>
        <w:divId w:val="523716405"/>
      </w:pPr>
      <w:r>
        <w:t xml:space="preserve">Në të dhënat e bashkisë Roskovec për </w:t>
      </w:r>
      <w:r>
        <w:rPr>
          <w:rStyle w:val="Strong"/>
          <w:rFonts w:eastAsiaTheme="majorEastAsia"/>
        </w:rPr>
        <w:t>shpenzimet për menaxhimin e rrjetit rrugor</w:t>
      </w:r>
      <w:r>
        <w:t xml:space="preserve">, vërehet një tendencë në rritje gjatë viteve të fundit. Në vitin </w:t>
      </w:r>
      <w:r>
        <w:rPr>
          <w:rStyle w:val="Strong"/>
          <w:rFonts w:eastAsiaTheme="majorEastAsia"/>
        </w:rPr>
        <w:t>2021</w:t>
      </w:r>
      <w:r>
        <w:t xml:space="preserve">, shpenzimet ishin </w:t>
      </w:r>
      <w:r>
        <w:rPr>
          <w:rStyle w:val="Strong"/>
          <w:rFonts w:eastAsiaTheme="majorEastAsia"/>
        </w:rPr>
        <w:t>92,580,000</w:t>
      </w:r>
      <w:r>
        <w:t xml:space="preserve"> lekë. Këto u ulën lehtë në vitin </w:t>
      </w:r>
      <w:r>
        <w:rPr>
          <w:rStyle w:val="Strong"/>
          <w:rFonts w:eastAsiaTheme="majorEastAsia"/>
        </w:rPr>
        <w:t>2022</w:t>
      </w:r>
      <w:r>
        <w:t xml:space="preserve">, duke arritur në </w:t>
      </w:r>
      <w:r>
        <w:rPr>
          <w:rStyle w:val="Strong"/>
          <w:rFonts w:eastAsiaTheme="majorEastAsia"/>
        </w:rPr>
        <w:t>89,821,000</w:t>
      </w:r>
      <w:r>
        <w:t xml:space="preserve"> lekë. Megjithatë, një rritje e ndjeshme u regjistrua në vitin </w:t>
      </w:r>
      <w:r>
        <w:rPr>
          <w:rStyle w:val="Strong"/>
          <w:rFonts w:eastAsiaTheme="majorEastAsia"/>
        </w:rPr>
        <w:t>2023</w:t>
      </w:r>
      <w:r>
        <w:t xml:space="preserve">, me shpenzimet që kapën shumën e </w:t>
      </w:r>
      <w:r>
        <w:rPr>
          <w:rStyle w:val="Strong"/>
          <w:rFonts w:eastAsiaTheme="majorEastAsia"/>
        </w:rPr>
        <w:t>227,110,000</w:t>
      </w:r>
      <w:r>
        <w:t xml:space="preserve"> lekë. Projekti për vitin </w:t>
      </w:r>
      <w:r>
        <w:rPr>
          <w:rStyle w:val="Strong"/>
          <w:rFonts w:eastAsiaTheme="majorEastAsia"/>
        </w:rPr>
        <w:t>2024</w:t>
      </w:r>
      <w:r>
        <w:t xml:space="preserve"> parashikon një shtim, duke arritur </w:t>
      </w:r>
      <w:r>
        <w:rPr>
          <w:rStyle w:val="Strong"/>
          <w:rFonts w:eastAsiaTheme="majorEastAsia"/>
        </w:rPr>
        <w:t>210,243,000</w:t>
      </w:r>
      <w:r>
        <w:t xml:space="preserve"> lekë. Në vitin </w:t>
      </w:r>
      <w:r>
        <w:rPr>
          <w:rStyle w:val="Strong"/>
          <w:rFonts w:eastAsiaTheme="majorEastAsia"/>
        </w:rPr>
        <w:t>2025</w:t>
      </w:r>
      <w:r>
        <w:t xml:space="preserve">, parashikohet një tjetër rritje, me shpenzime që kapin </w:t>
      </w:r>
      <w:r>
        <w:rPr>
          <w:rStyle w:val="Strong"/>
          <w:rFonts w:eastAsiaTheme="majorEastAsia"/>
        </w:rPr>
        <w:t>258,123,000</w:t>
      </w:r>
      <w:r>
        <w:t xml:space="preserve"> lekë. Ndërsa për vitin </w:t>
      </w:r>
      <w:r>
        <w:rPr>
          <w:rStyle w:val="Strong"/>
          <w:rFonts w:eastAsiaTheme="majorEastAsia"/>
        </w:rPr>
        <w:t>2026</w:t>
      </w:r>
      <w:r>
        <w:t xml:space="preserve">, shifra parashikohet të jetë </w:t>
      </w:r>
      <w:r>
        <w:rPr>
          <w:rStyle w:val="Strong"/>
          <w:rFonts w:eastAsiaTheme="majorEastAsia"/>
        </w:rPr>
        <w:t>266,176,000</w:t>
      </w:r>
      <w:r>
        <w:t xml:space="preserve"> lekë. Këto rritje indikojnë një fokus të shtuar në mirëmbajtjen dhe përmirësimin e infrastrukturës rrugore në Roskovec. Rritja e qëndrueshme mund të jetë një përgjigje ndaj nevojës për rrugë më cilësore për të mbështetur zhvillimin lokal. Këto investime pritet të kontribuojnë pozitivisht në lehtësimin e lëvizshmërisë dhe në zhvillimin ekonomik të zonës.</w:t>
      </w:r>
    </w:p>
    <w:p w:rsidR="00EF701A" w:rsidRDefault="00EF701A" w:rsidP="00BA3795"/>
    <w:p w:rsidR="00EF701A" w:rsidRDefault="00BA3795" w:rsidP="00BA3795">
      <w:r>
        <w:rPr>
          <w:noProof/>
        </w:rPr>
        <w:drawing>
          <wp:inline distT="0" distB="0" distL="0" distR="0" wp14:anchorId="59898222" wp14:editId="0B523170">
            <wp:extent cx="5486400" cy="3200400"/>
            <wp:effectExtent l="0" t="0" r="0" b="0"/>
            <wp:docPr id="1882989209" name="Chart 1882989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EF701A" w:rsidRDefault="00EF701A" w:rsidP="00BA3795"/>
    <w:p w:rsidR="00DB2B53" w:rsidRDefault="00DB2B53" w:rsidP="00BA3795"/>
    <w:p w:rsidR="00DB2B53" w:rsidRDefault="00DB2B53" w:rsidP="00BA3795"/>
    <w:p w:rsidR="00EF701A" w:rsidRDefault="00EF701A"/>
    <w:p w:rsidR="00EF701A" w:rsidRDefault="00BA3795" w:rsidP="00BA3795">
      <w:pPr>
        <w:pStyle w:val="dataNameStyle"/>
      </w:pPr>
      <w:r>
        <w:lastRenderedPageBreak/>
        <w:t>Gjatësia në km e rrjetit rrugor të mirëmbajtur në vit</w:t>
      </w:r>
    </w:p>
    <w:p w:rsidR="00C06E6F" w:rsidRPr="00C06E6F" w:rsidRDefault="00C06E6F" w:rsidP="00C06E6F">
      <w:pPr>
        <w:pStyle w:val="NormalWeb"/>
        <w:divId w:val="579367475"/>
      </w:pPr>
      <w:r w:rsidRPr="00C06E6F">
        <w:t xml:space="preserve">Përshkrimi i të dhënave të bashkisë Roskovec për rrjetin rrugor tregon një prirje pozitive në mirëmbajtjen e infrastrukturës rrugore gjatë viteve. Në </w:t>
      </w:r>
      <w:r w:rsidRPr="00C06E6F">
        <w:rPr>
          <w:b/>
          <w:bCs/>
        </w:rPr>
        <w:t>2021</w:t>
      </w:r>
      <w:r w:rsidRPr="00C06E6F">
        <w:t xml:space="preserve">, gjatësia e rrugëve të mirëmbajtura ishte </w:t>
      </w:r>
      <w:r w:rsidRPr="00C06E6F">
        <w:rPr>
          <w:b/>
          <w:bCs/>
        </w:rPr>
        <w:t>47 km</w:t>
      </w:r>
      <w:r w:rsidRPr="00C06E6F">
        <w:t xml:space="preserve">, shifër që tregon fillimin e një rritjeje në menaxhimin e rrjetit rrugor. Kjo rritje vazhdoi në </w:t>
      </w:r>
      <w:r w:rsidRPr="00C06E6F">
        <w:rPr>
          <w:b/>
          <w:bCs/>
        </w:rPr>
        <w:t>2022</w:t>
      </w:r>
      <w:r w:rsidRPr="00C06E6F">
        <w:t xml:space="preserve">, ku rrjeti i mirëmbajtur arriti në </w:t>
      </w:r>
      <w:r w:rsidRPr="00C06E6F">
        <w:rPr>
          <w:b/>
          <w:bCs/>
        </w:rPr>
        <w:t>54 km</w:t>
      </w:r>
      <w:r w:rsidRPr="00C06E6F">
        <w:t xml:space="preserve">, duke shënuar një përmirësim prej </w:t>
      </w:r>
      <w:r w:rsidRPr="00C06E6F">
        <w:rPr>
          <w:b/>
          <w:bCs/>
        </w:rPr>
        <w:t>7 km</w:t>
      </w:r>
      <w:r w:rsidRPr="00C06E6F">
        <w:t xml:space="preserve"> nga viti i mëparshëm. Në </w:t>
      </w:r>
      <w:r w:rsidRPr="00C06E6F">
        <w:rPr>
          <w:b/>
          <w:bCs/>
        </w:rPr>
        <w:t>2023</w:t>
      </w:r>
      <w:r w:rsidRPr="00C06E6F">
        <w:t xml:space="preserve">, u arritën </w:t>
      </w:r>
      <w:r w:rsidRPr="00C06E6F">
        <w:rPr>
          <w:b/>
          <w:bCs/>
        </w:rPr>
        <w:t>60 km</w:t>
      </w:r>
      <w:r w:rsidRPr="00C06E6F">
        <w:t xml:space="preserve"> rrugë të mirëmbajtura, që nënkupton një rritje prej </w:t>
      </w:r>
      <w:r w:rsidRPr="00C06E6F">
        <w:rPr>
          <w:b/>
          <w:bCs/>
        </w:rPr>
        <w:t>6 km</w:t>
      </w:r>
      <w:r w:rsidRPr="00C06E6F">
        <w:t xml:space="preserve"> krahasuar me </w:t>
      </w:r>
      <w:r w:rsidRPr="00C06E6F">
        <w:rPr>
          <w:b/>
          <w:bCs/>
        </w:rPr>
        <w:t>2022</w:t>
      </w:r>
      <w:r w:rsidRPr="00C06E6F">
        <w:t xml:space="preserve">. Për </w:t>
      </w:r>
      <w:r w:rsidRPr="00C06E6F">
        <w:rPr>
          <w:b/>
          <w:bCs/>
        </w:rPr>
        <w:t>2024</w:t>
      </w:r>
      <w:r w:rsidRPr="00C06E6F">
        <w:t xml:space="preserve">, pritet që rrjeti rrugor i mirëmbajtur të zgjatet në </w:t>
      </w:r>
      <w:r w:rsidRPr="00C06E6F">
        <w:rPr>
          <w:b/>
          <w:bCs/>
        </w:rPr>
        <w:t>64 km</w:t>
      </w:r>
      <w:r w:rsidRPr="00C06E6F">
        <w:t xml:space="preserve">, duke treguar vazhdimësinë e përkushtimit në infrastrukturë. Viti </w:t>
      </w:r>
      <w:r w:rsidRPr="00C06E6F">
        <w:rPr>
          <w:b/>
          <w:bCs/>
        </w:rPr>
        <w:t>2025</w:t>
      </w:r>
      <w:r w:rsidRPr="00C06E6F">
        <w:t xml:space="preserve"> sjell një rritje të vogël, por të rëndësishme, prej </w:t>
      </w:r>
      <w:r w:rsidRPr="00C06E6F">
        <w:rPr>
          <w:b/>
          <w:bCs/>
        </w:rPr>
        <w:t>1 km</w:t>
      </w:r>
      <w:r w:rsidRPr="00C06E6F">
        <w:t xml:space="preserve">, duke çuar rrjetin në </w:t>
      </w:r>
      <w:r w:rsidRPr="00C06E6F">
        <w:rPr>
          <w:b/>
          <w:bCs/>
        </w:rPr>
        <w:t>65 km</w:t>
      </w:r>
      <w:r w:rsidRPr="00C06E6F">
        <w:t xml:space="preserve">. Në përfundim, për </w:t>
      </w:r>
      <w:r w:rsidRPr="00C06E6F">
        <w:rPr>
          <w:b/>
          <w:bCs/>
        </w:rPr>
        <w:t>2026</w:t>
      </w:r>
      <w:r w:rsidRPr="00C06E6F">
        <w:t xml:space="preserve">, rrjeti rrugor i mirëmbajtur pritet të arrijë </w:t>
      </w:r>
      <w:r w:rsidRPr="00C06E6F">
        <w:rPr>
          <w:b/>
          <w:bCs/>
        </w:rPr>
        <w:t>66 km</w:t>
      </w:r>
      <w:r w:rsidRPr="00C06E6F">
        <w:t>, duke konfirmuar trajektoren e përmirësimit dhe zgjerimit të vazhdueshëm. Ky progres në mirëmbajtjen e rrugëve është një tregues i përkushtimit të bashkisë për të siguruar transport më të qetë dhe më të sigurt për qytetarët. Përfundimisht, përmirësimet e vazhdueshme përkrahin zhvillimin ekonomik dhe social të zonës, duke bërë që infrastrukturat të jenë më të përshtatshme për nevojat lokale.</w:t>
      </w:r>
    </w:p>
    <w:p w:rsidR="00C06E6F" w:rsidRDefault="00C06E6F">
      <w:pPr>
        <w:pStyle w:val="NormalWeb"/>
        <w:divId w:val="579367475"/>
      </w:pPr>
    </w:p>
    <w:p w:rsidR="00EF701A" w:rsidRDefault="00EF701A" w:rsidP="00BA3795"/>
    <w:p w:rsidR="00EF701A" w:rsidRDefault="00BA3795" w:rsidP="00BA3795">
      <w:r>
        <w:rPr>
          <w:noProof/>
        </w:rPr>
        <w:drawing>
          <wp:inline distT="0" distB="0" distL="0" distR="0" wp14:anchorId="6B3F5C6B" wp14:editId="78C960B1">
            <wp:extent cx="5486400" cy="3200400"/>
            <wp:effectExtent l="0" t="0" r="0" b="0"/>
            <wp:docPr id="189498465" name="Chart 189498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EF701A" w:rsidRDefault="00EF701A" w:rsidP="00BA3795"/>
    <w:p w:rsidR="00EF701A" w:rsidRDefault="00EF701A"/>
    <w:p w:rsidR="00EF701A" w:rsidRDefault="00BA3795" w:rsidP="00BA3795">
      <w:pPr>
        <w:pStyle w:val="dataNameStyle"/>
      </w:pPr>
      <w:r>
        <w:lastRenderedPageBreak/>
        <w:t>Gjatësia në km e rrjetit rrugor të shtruar (asfaltuar ose me çakull) në vit</w:t>
      </w:r>
    </w:p>
    <w:p w:rsidR="00C06E6F" w:rsidRPr="00C06E6F" w:rsidRDefault="00C06E6F" w:rsidP="00C06E6F">
      <w:pPr>
        <w:pStyle w:val="NormalWeb"/>
        <w:divId w:val="1673948016"/>
      </w:pPr>
      <w:r w:rsidRPr="00C06E6F">
        <w:t xml:space="preserve">Gjatësia e rrjetit rrugor të shtruar në Bashkinë Roskovec ka pësuar disa ndryshime gjatë viteve të fundit. Në </w:t>
      </w:r>
      <w:r w:rsidRPr="00C06E6F">
        <w:rPr>
          <w:b/>
          <w:bCs/>
        </w:rPr>
        <w:t>2021</w:t>
      </w:r>
      <w:r w:rsidRPr="00C06E6F">
        <w:t xml:space="preserve">, rrjeti ishte </w:t>
      </w:r>
      <w:r w:rsidRPr="00C06E6F">
        <w:rPr>
          <w:b/>
          <w:bCs/>
        </w:rPr>
        <w:t>12.5 km</w:t>
      </w:r>
      <w:r w:rsidRPr="00C06E6F">
        <w:t xml:space="preserve">. Ky numër ra në </w:t>
      </w:r>
      <w:r w:rsidRPr="00C06E6F">
        <w:rPr>
          <w:b/>
          <w:bCs/>
        </w:rPr>
        <w:t>11 km</w:t>
      </w:r>
      <w:r w:rsidRPr="00C06E6F">
        <w:t xml:space="preserve"> në </w:t>
      </w:r>
      <w:r w:rsidRPr="00C06E6F">
        <w:rPr>
          <w:b/>
          <w:bCs/>
        </w:rPr>
        <w:t>2022</w:t>
      </w:r>
      <w:r w:rsidRPr="00C06E6F">
        <w:t xml:space="preserve">, duke treguar një ulje në infrastrukturën e shtruar. Megjithatë, në </w:t>
      </w:r>
      <w:r w:rsidRPr="00C06E6F">
        <w:rPr>
          <w:b/>
          <w:bCs/>
        </w:rPr>
        <w:t>2023</w:t>
      </w:r>
      <w:r w:rsidRPr="00C06E6F">
        <w:t xml:space="preserve">, pati një rritje në </w:t>
      </w:r>
      <w:r w:rsidRPr="00C06E6F">
        <w:rPr>
          <w:b/>
          <w:bCs/>
        </w:rPr>
        <w:t>13 km</w:t>
      </w:r>
      <w:r w:rsidRPr="00C06E6F">
        <w:t xml:space="preserve">, tregues i përpjekjeve për të përmirësuar rrugët e bashkisë. Për periudhën e viteve </w:t>
      </w:r>
      <w:r w:rsidRPr="00C06E6F">
        <w:rPr>
          <w:b/>
          <w:bCs/>
        </w:rPr>
        <w:t>2024</w:t>
      </w:r>
      <w:r w:rsidRPr="00C06E6F">
        <w:t xml:space="preserve"> deri </w:t>
      </w:r>
      <w:r w:rsidRPr="00C06E6F">
        <w:rPr>
          <w:b/>
          <w:bCs/>
        </w:rPr>
        <w:t>2026</w:t>
      </w:r>
      <w:r w:rsidRPr="00C06E6F">
        <w:t xml:space="preserve">, gjatësia e rrjetit rrugor të shtruar ishte konstantisht </w:t>
      </w:r>
      <w:r w:rsidRPr="00C06E6F">
        <w:rPr>
          <w:b/>
          <w:bCs/>
        </w:rPr>
        <w:t>15 km</w:t>
      </w:r>
      <w:r w:rsidRPr="00C06E6F">
        <w:t xml:space="preserve">. Kjo tregon një angazhim për të ruajtur dhe ndoshta për të zgjeruar infrastrukturën rrugore. Krahasuar me </w:t>
      </w:r>
      <w:r w:rsidRPr="00C06E6F">
        <w:rPr>
          <w:b/>
          <w:bCs/>
        </w:rPr>
        <w:t>2021</w:t>
      </w:r>
      <w:r w:rsidRPr="00C06E6F">
        <w:t xml:space="preserve">, viti </w:t>
      </w:r>
      <w:r w:rsidRPr="00C06E6F">
        <w:rPr>
          <w:b/>
          <w:bCs/>
        </w:rPr>
        <w:t>2024</w:t>
      </w:r>
      <w:r w:rsidRPr="00C06E6F">
        <w:t xml:space="preserve"> shënoi një rritje të konsiderueshme, me një shtim prej </w:t>
      </w:r>
      <w:r w:rsidRPr="00C06E6F">
        <w:rPr>
          <w:b/>
          <w:bCs/>
        </w:rPr>
        <w:t>2.5 km</w:t>
      </w:r>
      <w:r w:rsidRPr="00C06E6F">
        <w:t xml:space="preserve">. Ky progres stabilizoi në një nivel të lartë të shërbimit rrugor në vitet pasuese. Investimet e shtuara dhe përmirësimet e vazhdueshme ndoshta kanë kontribuar në këtë zgjerim të qëndrueshëm. Rritja e ndjeshme prej </w:t>
      </w:r>
      <w:r w:rsidRPr="00C06E6F">
        <w:rPr>
          <w:b/>
          <w:bCs/>
        </w:rPr>
        <w:t>4 km</w:t>
      </w:r>
      <w:r w:rsidRPr="00C06E6F">
        <w:t xml:space="preserve"> nga </w:t>
      </w:r>
      <w:r w:rsidRPr="00C06E6F">
        <w:rPr>
          <w:b/>
          <w:bCs/>
        </w:rPr>
        <w:t>2022</w:t>
      </w:r>
      <w:r w:rsidRPr="00C06E6F">
        <w:t xml:space="preserve"> deri në </w:t>
      </w:r>
      <w:r w:rsidRPr="00C06E6F">
        <w:rPr>
          <w:b/>
          <w:bCs/>
        </w:rPr>
        <w:t>2024</w:t>
      </w:r>
      <w:r w:rsidRPr="00C06E6F">
        <w:t xml:space="preserve"> flet për prioritetet e qeverisë lokale ndaj infrastrukturës. Në total, periudha nga </w:t>
      </w:r>
      <w:r w:rsidRPr="00C06E6F">
        <w:rPr>
          <w:b/>
          <w:bCs/>
        </w:rPr>
        <w:t>2021</w:t>
      </w:r>
      <w:r w:rsidRPr="00C06E6F">
        <w:t xml:space="preserve"> deri në </w:t>
      </w:r>
      <w:r w:rsidRPr="00C06E6F">
        <w:rPr>
          <w:b/>
          <w:bCs/>
        </w:rPr>
        <w:t>2026</w:t>
      </w:r>
      <w:r w:rsidRPr="00C06E6F">
        <w:t xml:space="preserve"> dëshmon për një përmirësim të vazhdueshëm dhe të qëndrueshëm të rrjetit rrugor në këtë bashki.</w:t>
      </w:r>
    </w:p>
    <w:p w:rsidR="00C06E6F" w:rsidRDefault="00C06E6F">
      <w:pPr>
        <w:pStyle w:val="NormalWeb"/>
        <w:divId w:val="1673948016"/>
      </w:pPr>
    </w:p>
    <w:p w:rsidR="00EF701A" w:rsidRDefault="00EF701A" w:rsidP="00BA3795"/>
    <w:p w:rsidR="00EF701A" w:rsidRDefault="00BA3795" w:rsidP="00BA3795">
      <w:r>
        <w:rPr>
          <w:noProof/>
        </w:rPr>
        <w:drawing>
          <wp:inline distT="0" distB="0" distL="0" distR="0" wp14:anchorId="608F4ED3" wp14:editId="74CFDD79">
            <wp:extent cx="5486400" cy="3200400"/>
            <wp:effectExtent l="0" t="0" r="0" b="0"/>
            <wp:docPr id="1822695577" name="Chart 1822695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EF701A" w:rsidRDefault="00EF701A" w:rsidP="00BA3795"/>
    <w:p w:rsidR="00EF701A" w:rsidRDefault="00EF701A"/>
    <w:p w:rsidR="00533960" w:rsidRDefault="00533960"/>
    <w:p w:rsidR="00EF701A" w:rsidRDefault="00BA3795" w:rsidP="00BA3795">
      <w:pPr>
        <w:pStyle w:val="dataNameStyle"/>
      </w:pPr>
      <w:r>
        <w:lastRenderedPageBreak/>
        <w:t>U</w:t>
      </w:r>
      <w:r w:rsidR="00533960">
        <w:t>ra të mirëmbajtura</w:t>
      </w:r>
    </w:p>
    <w:p w:rsidR="00C06E6F" w:rsidRPr="00C06E6F" w:rsidRDefault="00C06E6F" w:rsidP="00C06E6F">
      <w:pPr>
        <w:pStyle w:val="NormalWeb"/>
        <w:divId w:val="1986664074"/>
      </w:pPr>
      <w:r w:rsidRPr="00C06E6F">
        <w:t xml:space="preserve">Të dhënat e bashkisë Roskovec tregojnë një rritje të ndjeshme në numrin e </w:t>
      </w:r>
      <w:r w:rsidRPr="00C06E6F">
        <w:rPr>
          <w:b/>
          <w:bCs/>
        </w:rPr>
        <w:t>urave të mirëmbajtura</w:t>
      </w:r>
      <w:r w:rsidRPr="00C06E6F">
        <w:t xml:space="preserve"> gjatë periudhës nga </w:t>
      </w:r>
      <w:r w:rsidRPr="00C06E6F">
        <w:rPr>
          <w:b/>
          <w:bCs/>
        </w:rPr>
        <w:t>2021</w:t>
      </w:r>
      <w:r w:rsidRPr="00C06E6F">
        <w:t xml:space="preserve"> deri në </w:t>
      </w:r>
      <w:r w:rsidRPr="00C06E6F">
        <w:rPr>
          <w:b/>
          <w:bCs/>
        </w:rPr>
        <w:t>2026</w:t>
      </w:r>
      <w:r w:rsidRPr="00C06E6F">
        <w:t xml:space="preserve">. Në </w:t>
      </w:r>
      <w:r w:rsidRPr="00C06E6F">
        <w:rPr>
          <w:b/>
          <w:bCs/>
        </w:rPr>
        <w:t>2021</w:t>
      </w:r>
      <w:r w:rsidRPr="00C06E6F">
        <w:t xml:space="preserve">, numri i urave të mirëmbajtura ishte vetëm </w:t>
      </w:r>
      <w:r w:rsidRPr="00C06E6F">
        <w:rPr>
          <w:b/>
          <w:bCs/>
        </w:rPr>
        <w:t>3</w:t>
      </w:r>
      <w:r w:rsidRPr="00C06E6F">
        <w:t xml:space="preserve">, duke reflektuar ndoshta një nevojë të madhe për ndërhyrje në infrastrukturë. Në </w:t>
      </w:r>
      <w:r w:rsidRPr="00C06E6F">
        <w:rPr>
          <w:b/>
          <w:bCs/>
        </w:rPr>
        <w:t>2022</w:t>
      </w:r>
      <w:r w:rsidRPr="00C06E6F">
        <w:t xml:space="preserve">, ky numër u rrit ndjeshëm në </w:t>
      </w:r>
      <w:r w:rsidRPr="00C06E6F">
        <w:rPr>
          <w:b/>
          <w:bCs/>
        </w:rPr>
        <w:t>12</w:t>
      </w:r>
      <w:r w:rsidRPr="00C06E6F">
        <w:t xml:space="preserve">, një rritje që tregon përpjekjet e shtuara për përmirësimin e infrastrukturës. Nga viti </w:t>
      </w:r>
      <w:r w:rsidRPr="00C06E6F">
        <w:rPr>
          <w:b/>
          <w:bCs/>
        </w:rPr>
        <w:t>2023</w:t>
      </w:r>
      <w:r w:rsidRPr="00C06E6F">
        <w:t xml:space="preserve"> deri në </w:t>
      </w:r>
      <w:r w:rsidRPr="00C06E6F">
        <w:rPr>
          <w:b/>
          <w:bCs/>
        </w:rPr>
        <w:t>2026</w:t>
      </w:r>
      <w:r w:rsidRPr="00C06E6F">
        <w:t xml:space="preserve">, numri i urave të mirëmbajtura arriti në </w:t>
      </w:r>
      <w:r w:rsidRPr="00C06E6F">
        <w:rPr>
          <w:b/>
          <w:bCs/>
        </w:rPr>
        <w:t>17</w:t>
      </w:r>
      <w:r w:rsidRPr="00C06E6F">
        <w:t xml:space="preserve"> dhe mbeti konstant. Kjo tregon se bashkia ka arritur një nivel të qëndrueshëm të mirëmbajtjes deri në këtë periudhë. Qëndrueshmëria nga </w:t>
      </w:r>
      <w:r w:rsidRPr="00C06E6F">
        <w:rPr>
          <w:b/>
          <w:bCs/>
        </w:rPr>
        <w:t>2023</w:t>
      </w:r>
      <w:r w:rsidRPr="00C06E6F">
        <w:t xml:space="preserve"> deri në </w:t>
      </w:r>
      <w:r w:rsidRPr="00C06E6F">
        <w:rPr>
          <w:b/>
          <w:bCs/>
        </w:rPr>
        <w:t>2026</w:t>
      </w:r>
      <w:r w:rsidRPr="00C06E6F">
        <w:t xml:space="preserve"> sugjeron se bashkia ka mundur të mbajë standardet e mirëmbajtjes për urat ekzistuese. Investimet fillestare midis </w:t>
      </w:r>
      <w:r w:rsidRPr="00C06E6F">
        <w:rPr>
          <w:b/>
          <w:bCs/>
        </w:rPr>
        <w:t>2021</w:t>
      </w:r>
      <w:r w:rsidRPr="00C06E6F">
        <w:t xml:space="preserve"> dhe </w:t>
      </w:r>
      <w:r w:rsidRPr="00C06E6F">
        <w:rPr>
          <w:b/>
          <w:bCs/>
        </w:rPr>
        <w:t>2023</w:t>
      </w:r>
      <w:r w:rsidRPr="00C06E6F">
        <w:t xml:space="preserve"> duket se kanë qenë të efektshme dhe të qëndrueshme për të siguruar që urat të mbeten në gjendje të mirë. Rritja fillestare e numrit të urave të mirëmbajtura tregon për një përqasje proaktive ndaj infrastrukturës së transportit. Kjo përmirësim është një tregues pozitiv për sigurinë dhe cilësinë e jetës në komunitetin lokal. Bashkia Roskovec duket se ka arritur të krijojë një sistem të mirëmbajtjes që ruan efikasitetin me kalimin e viteve.</w:t>
      </w:r>
    </w:p>
    <w:p w:rsidR="00C06E6F" w:rsidRDefault="00C06E6F">
      <w:pPr>
        <w:pStyle w:val="NormalWeb"/>
        <w:divId w:val="1986664074"/>
      </w:pPr>
    </w:p>
    <w:p w:rsidR="00EF701A" w:rsidRDefault="00EF701A" w:rsidP="00BA3795"/>
    <w:p w:rsidR="00EF701A" w:rsidRDefault="00BA3795" w:rsidP="00BA3795">
      <w:r>
        <w:rPr>
          <w:noProof/>
        </w:rPr>
        <w:drawing>
          <wp:inline distT="0" distB="0" distL="0" distR="0" wp14:anchorId="65706F94" wp14:editId="25756E17">
            <wp:extent cx="5486400" cy="3200400"/>
            <wp:effectExtent l="0" t="0" r="0" b="0"/>
            <wp:docPr id="1072268872" name="Chart 1072268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EF701A" w:rsidRDefault="00EF701A" w:rsidP="00BA3795"/>
    <w:p w:rsidR="00EF701A" w:rsidRDefault="00BA3795" w:rsidP="00C06E6F">
      <w:pPr>
        <w:pStyle w:val="sherbimiemristyle"/>
        <w:jc w:val="left"/>
      </w:pPr>
      <w:bookmarkStart w:id="42" w:name="_Toc210053358"/>
      <w:r>
        <w:lastRenderedPageBreak/>
        <w:t>Planifikimi Urban Vendor</w:t>
      </w:r>
      <w:bookmarkEnd w:id="42"/>
    </w:p>
    <w:p w:rsidR="00EF701A" w:rsidRDefault="00EF701A">
      <w:pPr>
        <w:rPr>
          <w:color w:val="0A2F41" w:themeColor="accent1" w:themeShade="80"/>
        </w:rPr>
      </w:pPr>
    </w:p>
    <w:p w:rsidR="00EF701A" w:rsidRDefault="00BA3795" w:rsidP="00BA3795">
      <w:pPr>
        <w:pStyle w:val="paragraphstyle"/>
      </w:pPr>
      <w:r>
        <w:t>Përfshin vlerësimin e performancës së planifikimit urban përmes analizës së të ardhurave mesatare nga lejet e zhvillimit dhe përqindjes së lejeve të miratuara që përputhen me planet e detajuara të zhvillimit. Ky proces ndihmon në matjen e efikasitetit financiar të lejeve të zhvillimit dhe përputhshmërisë së tyre me planifikimin urban, duke ofruar informacion të detajuar për marrjen e vendimeve dhe përmirësimin e administrimit të territorit.</w:t>
      </w:r>
    </w:p>
    <w:p w:rsidR="00EF701A" w:rsidRDefault="00EF701A" w:rsidP="00BA3795">
      <w:pPr>
        <w:pStyle w:val="paragraphstyle"/>
      </w:pPr>
    </w:p>
    <w:p w:rsidR="00EF701A" w:rsidRDefault="00BA3795" w:rsidP="00BA3795">
      <w:pPr>
        <w:pStyle w:val="paragraphstyle"/>
        <w:sectPr w:rsidR="00EF701A" w:rsidSect="00BA3795">
          <w:headerReference w:type="even" r:id="rId121"/>
          <w:footerReference w:type="even" r:id="rId122"/>
          <w:footerReference w:type="default" r:id="rId123"/>
          <w:headerReference w:type="first" r:id="rId124"/>
          <w:footerReference w:type="first" r:id="rId125"/>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702272" behindDoc="0" locked="0" layoutInCell="1" allowOverlap="1" wp14:anchorId="250D1C5C" wp14:editId="0305AB26">
                <wp:simplePos x="0" y="0"/>
                <wp:positionH relativeFrom="margin">
                  <wp:align>right</wp:align>
                </wp:positionH>
                <wp:positionV relativeFrom="paragraph">
                  <wp:posOffset>445135</wp:posOffset>
                </wp:positionV>
                <wp:extent cx="5925185" cy="3346450"/>
                <wp:effectExtent l="0" t="0" r="0" b="6350"/>
                <wp:wrapSquare wrapText="bothSides"/>
                <wp:docPr id="1813537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7B1C5AAE" wp14:editId="09CFBEE6">
                                  <wp:extent cx="5730000" cy="3260000"/>
                                  <wp:effectExtent l="0" t="0" r="0" b="0"/>
                                  <wp:docPr id="92242408" name="Picture 9224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6"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D1C5C" id="_x0000_s1041" type="#_x0000_t202" style="position:absolute;left:0;text-align:left;margin-left:415.35pt;margin-top:35.05pt;width:466.55pt;height:263.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Blw9pn&#10;SwIAANg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7B1C5AAE" wp14:editId="09CFBEE6">
                            <wp:extent cx="5730000" cy="3260000"/>
                            <wp:effectExtent l="0" t="0" r="0" b="0"/>
                            <wp:docPr id="92242408" name="Picture 9224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6"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950"/>
        <w:gridCol w:w="4632"/>
        <w:gridCol w:w="1116"/>
        <w:gridCol w:w="1228"/>
        <w:gridCol w:w="936"/>
        <w:gridCol w:w="696"/>
        <w:gridCol w:w="696"/>
        <w:gridCol w:w="6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Përputhja e lejeve të miratuara me planet e detajuara të zhvillimit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lejeve të miratuara të zhvillimit që përputhen me planet e detajuara të zhvillimit kundrejt numrit total të lejeve të miratuara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të ardhurave nga lejet e zhvillimit (Të ardhurat mesatare për leje zhvillimi)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ardhurat mesatare në lek nga lejet e zhvillimit kundrejt numrit total të lejeve të zhvillimit (të ardhura/numrit total të lejeve)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93391.82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110941.18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p w:rsidR="00EF701A" w:rsidRDefault="00BA3795" w:rsidP="00BA3795">
      <w:pPr>
        <w:pStyle w:val="indicatorNameStyle"/>
        <w:numPr>
          <w:ilvl w:val="0"/>
          <w:numId w:val="3"/>
        </w:numPr>
      </w:pPr>
      <w:r>
        <w:t>Rritja e të ardhurave nga lejet e zhvillimit (Të ardhurat mesatare për leje zhvillimi)</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C06E6F">
            <w:pPr>
              <w:pStyle w:val="StyleofText"/>
              <w:ind w:left="360"/>
            </w:pPr>
            <w:r>
              <w:t>Të ardhurat mesatare në lek nga lejet e zhvillimit kundrejt numrit total të lejeve të zhvillimit (të ardhura/numrit total të lejeve)</w:t>
            </w:r>
          </w:p>
        </w:tc>
      </w:tr>
    </w:tbl>
    <w:p w:rsidR="00EF701A" w:rsidRDefault="00BA3795">
      <w:pPr>
        <w:pStyle w:val="NormalWeb"/>
        <w:divId w:val="789472547"/>
      </w:pPr>
      <w:r>
        <w:t xml:space="preserve">Të dhënat për bashkinë Roskovec tregojnë ndryshimet në të ardhurat mesatare nga lejet e zhvillimit për vitet 2021 deri në 2026. Në vitin </w:t>
      </w:r>
      <w:r>
        <w:rPr>
          <w:rStyle w:val="Strong"/>
          <w:rFonts w:eastAsiaTheme="majorEastAsia"/>
        </w:rPr>
        <w:t>2021</w:t>
      </w:r>
      <w:r>
        <w:t xml:space="preserve">, të ardhurat mesatare ishin </w:t>
      </w:r>
      <w:r>
        <w:rPr>
          <w:rStyle w:val="Strong"/>
          <w:rFonts w:eastAsiaTheme="majorEastAsia"/>
        </w:rPr>
        <w:t>93,391.82</w:t>
      </w:r>
      <w:r>
        <w:t xml:space="preserve"> lek. Në </w:t>
      </w:r>
      <w:r>
        <w:rPr>
          <w:rStyle w:val="Strong"/>
          <w:rFonts w:eastAsiaTheme="majorEastAsia"/>
        </w:rPr>
        <w:t>2022</w:t>
      </w:r>
      <w:r>
        <w:t xml:space="preserve">, pati një rritje të dukshme, duke arritur në </w:t>
      </w:r>
      <w:r>
        <w:rPr>
          <w:rStyle w:val="Strong"/>
          <w:rFonts w:eastAsiaTheme="majorEastAsia"/>
        </w:rPr>
        <w:t>110,941.18</w:t>
      </w:r>
      <w:r>
        <w:t xml:space="preserve"> lek. Megjithatë, në </w:t>
      </w:r>
      <w:r>
        <w:rPr>
          <w:rStyle w:val="Strong"/>
          <w:rFonts w:eastAsiaTheme="majorEastAsia"/>
        </w:rPr>
        <w:t>2023</w:t>
      </w:r>
      <w:r>
        <w:t xml:space="preserve">, vlera ra në </w:t>
      </w:r>
      <w:r>
        <w:rPr>
          <w:rStyle w:val="Strong"/>
          <w:rFonts w:eastAsiaTheme="majorEastAsia"/>
        </w:rPr>
        <w:t>100,000</w:t>
      </w:r>
      <w:r>
        <w:t xml:space="preserve"> lek. Për tre vitet pasuese,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të ardhurat mesatare janë raportuar si </w:t>
      </w:r>
      <w:r>
        <w:rPr>
          <w:rStyle w:val="Strong"/>
          <w:rFonts w:eastAsiaTheme="majorEastAsia"/>
        </w:rPr>
        <w:t>0</w:t>
      </w:r>
      <w:r>
        <w:t xml:space="preserve"> lek. Kjo mund të tregojë një mungesë të lejeve të reja të zhvillimit ose një vendim për të mos i tarifuar ato. Vitin 2022 shënon kulmin e të ardhurave gjatë periudhës së analizuar. Ulja në </w:t>
      </w:r>
      <w:r>
        <w:rPr>
          <w:rStyle w:val="Strong"/>
          <w:rFonts w:eastAsiaTheme="majorEastAsia"/>
        </w:rPr>
        <w:t>2023</w:t>
      </w:r>
      <w:r>
        <w:t xml:space="preserve"> mund të jetë reflektim i ndryshimeve ekonomike ose të politikave lokale. Mungesa e të ardhurave në vitet që pasojnë mund të ndikojë në buxhetin e bashkisë. Ky trend i të ardhurave kërkon një analizë të mëtejshme për të kuptuar shkaqet dhe për të planifikuar masat e nevojshme për të ardhmen. Të dhënat nënvizojnë rëndësinë e një qasjeje të qëndrueshme dhe të balancuar për menaxhimin e lejeve të zhvillimit në bashki.</w:t>
      </w:r>
    </w:p>
    <w:p w:rsidR="00EF701A" w:rsidRDefault="00EF701A" w:rsidP="00BA3795"/>
    <w:p w:rsidR="00EF701A" w:rsidRDefault="00BA3795" w:rsidP="00BA3795">
      <w:r>
        <w:rPr>
          <w:noProof/>
        </w:rPr>
        <w:drawing>
          <wp:inline distT="0" distB="0" distL="0" distR="0" wp14:anchorId="0B838D5A" wp14:editId="50D2602E">
            <wp:extent cx="5486400" cy="3200400"/>
            <wp:effectExtent l="0" t="0" r="0" b="0"/>
            <wp:docPr id="249566782" name="Chart 249566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054"/>
        <w:gridCol w:w="1296"/>
        <w:gridCol w:w="1296"/>
        <w:gridCol w:w="1416"/>
        <w:gridCol w:w="1296"/>
        <w:gridCol w:w="1296"/>
        <w:gridCol w:w="12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ardhurat nga lejet e zhvillimit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2054620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1886000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5000000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instrumentave të përdorur nga bashkia: - numri I planeve sektoriale që mbulojnë vitin në shqyrtim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instrumentave të përdorur nga bashkia: - numri I planeve të detajuar që mbulojnë vitin në shqyrtim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instrumentave të përdorur nga bashkia: -plani I përgjithshëm vendor mbulon vitin në shqyrtim</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Te ardhurat e veta (realizimi faktik vjetor)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237680000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272036000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4365410000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376958000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376958000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376958000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instrumentave të planifikimit sipas parashikimeve ligjore që përdor bashkia (plani i përgjithshëm vendor (ppv); plani sektorial në nivel bashkie (“psnb”); plan i detajuar vendor (pdv)</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zonave apo njësive të përcaktuara në PDV</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Leje të miratuara të zhvillimit që përputhen me planet e detajuara të zhvillimit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lejeve të zhvillimit të miratuara nga bashkia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për shërbimin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11</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C06E6F">
      <w:pPr>
        <w:pStyle w:val="dataNameStyle"/>
      </w:pPr>
      <w:r>
        <w:t>Të ardhurat nga lejet e zhvillimit në lekë</w:t>
      </w:r>
    </w:p>
    <w:p w:rsidR="00EF701A" w:rsidRDefault="00BA3795">
      <w:pPr>
        <w:pStyle w:val="NormalWeb"/>
        <w:divId w:val="311374052"/>
      </w:pPr>
      <w:r>
        <w:t xml:space="preserve">Të dhënat lidhur me të ardhurat nga lejet e zhvillimit në Bashkinë Roskovec tregojnë një variabilitet të dukshëm nga viti në vit. Në </w:t>
      </w:r>
      <w:r>
        <w:rPr>
          <w:rStyle w:val="Strong"/>
          <w:rFonts w:eastAsiaTheme="majorEastAsia"/>
        </w:rPr>
        <w:t>2021</w:t>
      </w:r>
      <w:r>
        <w:t xml:space="preserve">, të ardhurat arritën në </w:t>
      </w:r>
      <w:r>
        <w:rPr>
          <w:rStyle w:val="Strong"/>
          <w:rFonts w:eastAsiaTheme="majorEastAsia"/>
        </w:rPr>
        <w:t>2,054,620 lekë</w:t>
      </w:r>
      <w:r>
        <w:t xml:space="preserve">, duke u pasuar nga një ulje në </w:t>
      </w:r>
      <w:r>
        <w:rPr>
          <w:rStyle w:val="Strong"/>
          <w:rFonts w:eastAsiaTheme="majorEastAsia"/>
        </w:rPr>
        <w:t>2022</w:t>
      </w:r>
      <w:r>
        <w:t xml:space="preserve"> me një total prej vetëm </w:t>
      </w:r>
      <w:r>
        <w:rPr>
          <w:rStyle w:val="Strong"/>
          <w:rFonts w:eastAsiaTheme="majorEastAsia"/>
        </w:rPr>
        <w:t>1,886,000 lekë</w:t>
      </w:r>
      <w:r>
        <w:t xml:space="preserve">. Kjo rënie në të ardhura mund të jetë tregues i një uljeje në numrin e kërkesave për leje ose ndryshimeve në politikat e zhvillimit urban. Në </w:t>
      </w:r>
      <w:r>
        <w:rPr>
          <w:rStyle w:val="Strong"/>
          <w:rFonts w:eastAsiaTheme="majorEastAsia"/>
        </w:rPr>
        <w:t>2023</w:t>
      </w:r>
      <w:r>
        <w:t xml:space="preserve">, vlera e të ardhurave pësoi një rritje të dukshme, duke arritur në plot </w:t>
      </w:r>
      <w:r>
        <w:rPr>
          <w:rStyle w:val="Strong"/>
          <w:rFonts w:eastAsiaTheme="majorEastAsia"/>
        </w:rPr>
        <w:t>5,000,000 lekë</w:t>
      </w:r>
      <w:r>
        <w:t xml:space="preserve">; ky ndryshim sugjeron një rritje të interesit për zhvillim ose projekte të reja ndërtimore. Ndërkohë, për </w:t>
      </w:r>
      <w:r>
        <w:rPr>
          <w:rStyle w:val="Strong"/>
          <w:rFonts w:eastAsiaTheme="majorEastAsia"/>
        </w:rPr>
        <w:t>2024</w:t>
      </w:r>
      <w:r>
        <w:t xml:space="preserve"> dhe </w:t>
      </w:r>
      <w:r>
        <w:rPr>
          <w:rStyle w:val="Strong"/>
          <w:rFonts w:eastAsiaTheme="majorEastAsia"/>
        </w:rPr>
        <w:t>2025</w:t>
      </w:r>
      <w:r>
        <w:t xml:space="preserve">, të ardhurat janë raportuar si </w:t>
      </w:r>
      <w:r>
        <w:rPr>
          <w:rStyle w:val="Strong"/>
          <w:rFonts w:eastAsiaTheme="majorEastAsia"/>
        </w:rPr>
        <w:t>0 lekë</w:t>
      </w:r>
      <w:r>
        <w:t xml:space="preserve">, duke ngritur pyetje mbi mungesën e projekteve të reja ose mbylljes së mundshme të dhënies së lejeve gjatë këtyre viteve. Për </w:t>
      </w:r>
      <w:r>
        <w:rPr>
          <w:rStyle w:val="Strong"/>
          <w:rFonts w:eastAsiaTheme="majorEastAsia"/>
        </w:rPr>
        <w:t>2026</w:t>
      </w:r>
      <w:r>
        <w:t xml:space="preserve">, mungesa e të dhënave sugjeron se ose të dhënat ende nuk janë mbledhur ose raportuara. Këto luhatje në të ardhura mund të reflektojnë ndryshime ekonomike lokale, politika të reja të miratuara nga bashkia, ose edhe tendenca në zhvillimin e pronave. Rritja e ndjeshme në </w:t>
      </w:r>
      <w:r>
        <w:rPr>
          <w:rStyle w:val="Strong"/>
          <w:rFonts w:eastAsiaTheme="majorEastAsia"/>
        </w:rPr>
        <w:t>2023</w:t>
      </w:r>
      <w:r>
        <w:t xml:space="preserve"> mund të jetë rezultat i iniciativave për të nxitur investimet dhe ndërtimet në zonë. Për periudhën pas </w:t>
      </w:r>
      <w:r>
        <w:rPr>
          <w:rStyle w:val="Strong"/>
          <w:rFonts w:eastAsiaTheme="majorEastAsia"/>
        </w:rPr>
        <w:t>2023</w:t>
      </w:r>
      <w:r>
        <w:t>, një monitorim i ngushtë mund të ndihmojë në kuptimin e dritareve të mundshme për zhvillim dhe për të adresuar sfidat e mundshme që kanë ndikuar në vitet e mëparshme. Një analizë më e thellë mund të ofrojë pasqyrë më të qartë mbi dinamikën dhe strategjitë e zhvillimit të Bashkisë Roskovec.</w:t>
      </w:r>
    </w:p>
    <w:p w:rsidR="00EF701A" w:rsidRDefault="00EF701A" w:rsidP="00BA3795"/>
    <w:p w:rsidR="00EF701A" w:rsidRDefault="00BA3795" w:rsidP="00BA3795">
      <w:r>
        <w:rPr>
          <w:noProof/>
        </w:rPr>
        <w:drawing>
          <wp:inline distT="0" distB="0" distL="0" distR="0" wp14:anchorId="31C0B52C" wp14:editId="48F315D3">
            <wp:extent cx="5486400" cy="3200400"/>
            <wp:effectExtent l="0" t="0" r="0" b="0"/>
            <wp:docPr id="1497064523" name="Chart 1497064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EF701A" w:rsidRDefault="00EF701A"/>
    <w:p w:rsidR="00EF701A" w:rsidRDefault="00BA3795" w:rsidP="00C06E6F">
      <w:pPr>
        <w:pStyle w:val="dataNameStyle"/>
      </w:pPr>
      <w:r>
        <w:lastRenderedPageBreak/>
        <w:t>Te ardhurat e veta (realizimi faktik vjetor)</w:t>
      </w:r>
    </w:p>
    <w:p w:rsidR="00EF701A" w:rsidRDefault="00BA3795">
      <w:pPr>
        <w:pStyle w:val="NormalWeb"/>
        <w:divId w:val="502740741"/>
      </w:pPr>
      <w:r>
        <w:t xml:space="preserve">Të dhënat e bashkisë Roskovec për të ardhurat e veta tregojnë një trend të qartë rritës përgjatë viteve të analizuar. Në vitin </w:t>
      </w:r>
      <w:r>
        <w:rPr>
          <w:rStyle w:val="Strong"/>
          <w:rFonts w:eastAsiaTheme="majorEastAsia"/>
        </w:rPr>
        <w:t>2021</w:t>
      </w:r>
      <w:r>
        <w:t xml:space="preserve">, të ardhurat e realizuara ishin </w:t>
      </w:r>
      <w:r>
        <w:rPr>
          <w:rStyle w:val="Strong"/>
          <w:rFonts w:eastAsiaTheme="majorEastAsia"/>
        </w:rPr>
        <w:t>237,680,000</w:t>
      </w:r>
      <w:r>
        <w:t xml:space="preserve"> lekë, duke shënuar një pikënisje të konsiderueshme në këtë periudhë. Viti </w:t>
      </w:r>
      <w:r>
        <w:rPr>
          <w:rStyle w:val="Strong"/>
          <w:rFonts w:eastAsiaTheme="majorEastAsia"/>
        </w:rPr>
        <w:t>2022</w:t>
      </w:r>
      <w:r>
        <w:t xml:space="preserve"> tregoi një rritje të qëndrueshme me të ardhura që arritën </w:t>
      </w:r>
      <w:r>
        <w:rPr>
          <w:rStyle w:val="Strong"/>
          <w:rFonts w:eastAsiaTheme="majorEastAsia"/>
        </w:rPr>
        <w:t>272,036,000</w:t>
      </w:r>
      <w:r>
        <w:t xml:space="preserve"> lekë. Një rritje dramatike u pa në vitin </w:t>
      </w:r>
      <w:r>
        <w:rPr>
          <w:rStyle w:val="Strong"/>
          <w:rFonts w:eastAsiaTheme="majorEastAsia"/>
        </w:rPr>
        <w:t>2023</w:t>
      </w:r>
      <w:r>
        <w:t xml:space="preserve">, ku të ardhurat arritën në </w:t>
      </w:r>
      <w:r>
        <w:rPr>
          <w:rStyle w:val="Strong"/>
          <w:rFonts w:eastAsiaTheme="majorEastAsia"/>
        </w:rPr>
        <w:t>4,365,410,000</w:t>
      </w:r>
      <w:r>
        <w:t xml:space="preserve"> lekë, një ndryshim i jashtëzakonshëm krahasuar me vitet e mëparshme.</w:t>
      </w:r>
    </w:p>
    <w:p w:rsidR="00EF701A" w:rsidRDefault="00BA3795">
      <w:pPr>
        <w:pStyle w:val="NormalWeb"/>
        <w:divId w:val="502740741"/>
      </w:pPr>
      <w:r>
        <w:t xml:space="preserve">Ndërkohë, për vitet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të gjitha vitet kanë një parashikim të të ardhurave të qëndrueshme prej </w:t>
      </w:r>
      <w:r>
        <w:rPr>
          <w:rStyle w:val="Strong"/>
          <w:rFonts w:eastAsiaTheme="majorEastAsia"/>
        </w:rPr>
        <w:t>376,958,000</w:t>
      </w:r>
      <w:r>
        <w:t xml:space="preserve"> lekësh. Kjo stabilizim tregon një prirje për ruajtjen e një niveli konstant të ardhurash pas rritjes së madhe në vitin 2023. Rritja e menjëhershme në vitin 2023 sugjeron faktorë ose projekte specifike që kanë ndikuar në këtë përmirësim të ndjeshëm. Për dallim, vitet pasuese parashikojnë një kthim në nivele më afër parimeve të viteve para rritjes. Ky ndryshim i madh dhe pastaj stabilizimi sugjerojnë nevojën për analiza të mëtejshme të faktorëve që ndikojnë në të ardhurat e bashkisë Roskovec.</w:t>
      </w:r>
    </w:p>
    <w:p w:rsidR="00EF701A" w:rsidRDefault="00EF701A" w:rsidP="00BA3795"/>
    <w:p w:rsidR="00EF701A" w:rsidRDefault="00BA3795" w:rsidP="00BA3795">
      <w:r>
        <w:rPr>
          <w:noProof/>
        </w:rPr>
        <w:drawing>
          <wp:inline distT="0" distB="0" distL="0" distR="0" wp14:anchorId="30992C60" wp14:editId="7F4827DA">
            <wp:extent cx="5486400" cy="3200400"/>
            <wp:effectExtent l="0" t="0" r="0" b="0"/>
            <wp:docPr id="630776921" name="Chart 630776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EF701A" w:rsidRDefault="00EF701A" w:rsidP="00BA3795"/>
    <w:p w:rsidR="00EF701A" w:rsidRDefault="00EF701A"/>
    <w:p w:rsidR="00EF701A" w:rsidRDefault="00BA3795" w:rsidP="00BA3795">
      <w:pPr>
        <w:pStyle w:val="dataNameStyle"/>
      </w:pPr>
      <w:r>
        <w:t>Leje të miratuara të zhvillimit që përputhen me planet e detajuara të zhvillimit</w:t>
      </w:r>
    </w:p>
    <w:p w:rsidR="00EF701A" w:rsidRDefault="00BA3795">
      <w:pPr>
        <w:pStyle w:val="NormalWeb"/>
        <w:divId w:val="1011104222"/>
      </w:pPr>
      <w:r>
        <w:t xml:space="preserve">Në Bashkinë e Roskovecit, numri i lejeve të miratuara të zhvillimit që përputhen me planet e detajuara ka pësuar ndryshime të konsiderueshme gjatë viteve të fundit. Në vitin </w:t>
      </w:r>
      <w:r>
        <w:rPr>
          <w:rStyle w:val="Strong"/>
          <w:rFonts w:eastAsiaTheme="majorEastAsia"/>
        </w:rPr>
        <w:t>2021</w:t>
      </w:r>
      <w:r>
        <w:t xml:space="preserve">, janë </w:t>
      </w:r>
      <w:r>
        <w:lastRenderedPageBreak/>
        <w:t xml:space="preserve">miratuar </w:t>
      </w:r>
      <w:r>
        <w:rPr>
          <w:rStyle w:val="Strong"/>
          <w:rFonts w:eastAsiaTheme="majorEastAsia"/>
        </w:rPr>
        <w:t>22</w:t>
      </w:r>
      <w:r>
        <w:t xml:space="preserve"> leje. Kjo shifër ka rënë në </w:t>
      </w:r>
      <w:r>
        <w:rPr>
          <w:rStyle w:val="Strong"/>
          <w:rFonts w:eastAsiaTheme="majorEastAsia"/>
        </w:rPr>
        <w:t>17</w:t>
      </w:r>
      <w:r>
        <w:t xml:space="preserve"> leje në vitin </w:t>
      </w:r>
      <w:r>
        <w:rPr>
          <w:rStyle w:val="Strong"/>
          <w:rFonts w:eastAsiaTheme="majorEastAsia"/>
        </w:rPr>
        <w:t>2022</w:t>
      </w:r>
      <w:r>
        <w:t xml:space="preserve">, duke treguar një ulje të aktivitetit zhvillimor për atë periudhë. Megjithatë, në vitin </w:t>
      </w:r>
      <w:r>
        <w:rPr>
          <w:rStyle w:val="Strong"/>
          <w:rFonts w:eastAsiaTheme="majorEastAsia"/>
        </w:rPr>
        <w:t>2023</w:t>
      </w:r>
      <w:r>
        <w:t xml:space="preserve">, ka pasur një rritje të ndjeshme në </w:t>
      </w:r>
      <w:r>
        <w:rPr>
          <w:rStyle w:val="Strong"/>
          <w:rFonts w:eastAsiaTheme="majorEastAsia"/>
        </w:rPr>
        <w:t>50</w:t>
      </w:r>
      <w:r>
        <w:t xml:space="preserve"> leje të miratuara, që është trefish më shumë se viti i kaluar. Për vitet e ardhshme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të dhënat tregojnë një stagnim total, me </w:t>
      </w:r>
      <w:r>
        <w:rPr>
          <w:rStyle w:val="Strong"/>
          <w:rFonts w:eastAsiaTheme="majorEastAsia"/>
        </w:rPr>
        <w:t>0</w:t>
      </w:r>
      <w:r>
        <w:t xml:space="preserve"> leje të parashikuara për të qenë të miratuara. Ky ndryshim mund të tregojë për një përfundim të projekteve ekzistuese ose një mospërputhje me planet e reja të zhvillimit. Piku i vitit </w:t>
      </w:r>
      <w:r>
        <w:rPr>
          <w:rStyle w:val="Strong"/>
          <w:rFonts w:eastAsiaTheme="majorEastAsia"/>
        </w:rPr>
        <w:t>2023</w:t>
      </w:r>
      <w:r>
        <w:t xml:space="preserve"> mund të jetë i lidhur me politika të përkohshme ose projekte të mëdha që kanë kërkuar leje të shumta. Rënia drastike në zero për vitet </w:t>
      </w:r>
      <w:r>
        <w:rPr>
          <w:rStyle w:val="Strong"/>
          <w:rFonts w:eastAsiaTheme="majorEastAsia"/>
        </w:rPr>
        <w:t>2024</w:t>
      </w:r>
      <w:r>
        <w:t xml:space="preserve"> e më tej sugjeron një nevojë për rishikim të strategjive të zhvillimit urban. Një krahasim ndër vite thekson rëndësinë e planifikimit afatgjatë për zhvillimin e qëndrueshëm të bashkisë.</w:t>
      </w:r>
    </w:p>
    <w:p w:rsidR="00EF701A" w:rsidRDefault="00EF701A" w:rsidP="00BA3795"/>
    <w:p w:rsidR="00EF701A" w:rsidRDefault="00BA3795" w:rsidP="00BA3795">
      <w:r>
        <w:rPr>
          <w:noProof/>
        </w:rPr>
        <w:drawing>
          <wp:inline distT="0" distB="0" distL="0" distR="0" wp14:anchorId="0E2DD341" wp14:editId="0F0E1E3D">
            <wp:extent cx="5486400" cy="3200400"/>
            <wp:effectExtent l="0" t="0" r="0" b="0"/>
            <wp:docPr id="707519335" name="Chart 707519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EF701A" w:rsidRDefault="00EF701A" w:rsidP="00BA3795"/>
    <w:p w:rsidR="00C06E6F" w:rsidRDefault="00C06E6F" w:rsidP="00BA3795"/>
    <w:p w:rsidR="00EF701A" w:rsidRDefault="00EF701A"/>
    <w:p w:rsidR="00533960" w:rsidRDefault="00533960"/>
    <w:p w:rsidR="00533960" w:rsidRDefault="00533960"/>
    <w:p w:rsidR="00533960" w:rsidRDefault="00533960"/>
    <w:p w:rsidR="00533960" w:rsidRDefault="00533960"/>
    <w:p w:rsidR="00EF701A" w:rsidRDefault="00BA3795" w:rsidP="00BA3795">
      <w:pPr>
        <w:pStyle w:val="dataNameStyle"/>
      </w:pPr>
      <w:r>
        <w:lastRenderedPageBreak/>
        <w:t>N</w:t>
      </w:r>
      <w:r w:rsidR="00533960">
        <w:t>umri total i lejeve të zhvillimit të miratuara nga bashkia</w:t>
      </w:r>
    </w:p>
    <w:p w:rsidR="00C06E6F" w:rsidRPr="00C06E6F" w:rsidRDefault="00C06E6F" w:rsidP="00C06E6F">
      <w:pPr>
        <w:pStyle w:val="NormalWeb"/>
        <w:divId w:val="1596935375"/>
      </w:pPr>
      <w:r w:rsidRPr="00C06E6F">
        <w:t xml:space="preserve">Të dhënat për numrin total të lejeve të zhvillimit të miratuara nga Bashkia Roskovec tregojnë luhatje ndër vite. Në vitin </w:t>
      </w:r>
      <w:r w:rsidRPr="00C06E6F">
        <w:rPr>
          <w:b/>
          <w:bCs/>
        </w:rPr>
        <w:t>2021</w:t>
      </w:r>
      <w:r w:rsidRPr="00C06E6F">
        <w:t xml:space="preserve">, janë miratuar </w:t>
      </w:r>
      <w:r w:rsidRPr="00C06E6F">
        <w:rPr>
          <w:b/>
          <w:bCs/>
        </w:rPr>
        <w:t>22</w:t>
      </w:r>
      <w:r w:rsidRPr="00C06E6F">
        <w:t xml:space="preserve"> leje zhvillimi. Në vitin </w:t>
      </w:r>
      <w:r w:rsidRPr="00C06E6F">
        <w:rPr>
          <w:b/>
          <w:bCs/>
        </w:rPr>
        <w:t>2022</w:t>
      </w:r>
      <w:r w:rsidRPr="00C06E6F">
        <w:t xml:space="preserve">, ky numër ka rënë në </w:t>
      </w:r>
      <w:r w:rsidRPr="00C06E6F">
        <w:rPr>
          <w:b/>
          <w:bCs/>
        </w:rPr>
        <w:t>17</w:t>
      </w:r>
      <w:r w:rsidRPr="00C06E6F">
        <w:t xml:space="preserve"> leje, tregues i një uljeje të interesit ose rritje të kritereve për miratim. Ndërkohë, viti </w:t>
      </w:r>
      <w:r w:rsidRPr="00C06E6F">
        <w:rPr>
          <w:b/>
          <w:bCs/>
        </w:rPr>
        <w:t>2023</w:t>
      </w:r>
      <w:r w:rsidRPr="00C06E6F">
        <w:t xml:space="preserve"> ka parë një rritje të ndjeshme, me një total prej </w:t>
      </w:r>
      <w:r w:rsidRPr="00C06E6F">
        <w:rPr>
          <w:b/>
          <w:bCs/>
        </w:rPr>
        <w:t>50</w:t>
      </w:r>
      <w:r w:rsidRPr="00C06E6F">
        <w:t xml:space="preserve"> leje të miratuara. Kjo rritje e ndjeshme mund të përfaqësojë një bum në ndërtim apo politika më nxitëse të bashkisë. Për vitet </w:t>
      </w:r>
      <w:r w:rsidRPr="00C06E6F">
        <w:rPr>
          <w:b/>
          <w:bCs/>
        </w:rPr>
        <w:t>2024</w:t>
      </w:r>
      <w:r w:rsidRPr="00C06E6F">
        <w:t xml:space="preserve">, </w:t>
      </w:r>
      <w:r w:rsidRPr="00C06E6F">
        <w:rPr>
          <w:b/>
          <w:bCs/>
        </w:rPr>
        <w:t>2025</w:t>
      </w:r>
      <w:r w:rsidRPr="00C06E6F">
        <w:t xml:space="preserve">, dhe </w:t>
      </w:r>
      <w:r w:rsidRPr="00C06E6F">
        <w:rPr>
          <w:b/>
          <w:bCs/>
        </w:rPr>
        <w:t>2026</w:t>
      </w:r>
      <w:r w:rsidRPr="00C06E6F">
        <w:t xml:space="preserve">, nuk ka të dhëna të disponueshme, gjë që sugjeron se ose të dhënat ende nuk janë përmbledhur, ose miratime nuk janë kryer ende. Kjo mungesë e të dhënave përcakton një pasiguri për tendencat e ardhshme. Në përgjithësi, nga </w:t>
      </w:r>
      <w:r w:rsidRPr="00C06E6F">
        <w:rPr>
          <w:b/>
          <w:bCs/>
        </w:rPr>
        <w:t>2021</w:t>
      </w:r>
      <w:r w:rsidRPr="00C06E6F">
        <w:t xml:space="preserve"> deri në </w:t>
      </w:r>
      <w:r w:rsidRPr="00C06E6F">
        <w:rPr>
          <w:b/>
          <w:bCs/>
        </w:rPr>
        <w:t>2023</w:t>
      </w:r>
      <w:r w:rsidRPr="00C06E6F">
        <w:t xml:space="preserve">, shifrat tregojnë një pavendosmëri në lejet e miratimit. Nëse trendi i </w:t>
      </w:r>
      <w:r w:rsidRPr="00C06E6F">
        <w:rPr>
          <w:b/>
          <w:bCs/>
        </w:rPr>
        <w:t>2023</w:t>
      </w:r>
      <w:r w:rsidRPr="00C06E6F">
        <w:t xml:space="preserve"> vazhdon, mund të presim një angazhim më të madh në infrastruktura. Sidoqoftë, ndikues të jashtëm dhe planet strategjike të bashkisë do të luajnë një rol kritik në këtë dinamikë.</w:t>
      </w:r>
    </w:p>
    <w:p w:rsidR="00C06E6F" w:rsidRDefault="00C06E6F">
      <w:pPr>
        <w:pStyle w:val="NormalWeb"/>
        <w:divId w:val="1596935375"/>
      </w:pPr>
    </w:p>
    <w:p w:rsidR="00EF701A" w:rsidRDefault="00EF701A" w:rsidP="00BA3795"/>
    <w:p w:rsidR="00EF701A" w:rsidRDefault="00BA3795" w:rsidP="00BA3795">
      <w:r>
        <w:rPr>
          <w:noProof/>
        </w:rPr>
        <w:drawing>
          <wp:inline distT="0" distB="0" distL="0" distR="0" wp14:anchorId="2BAAB16D" wp14:editId="4E655CF7">
            <wp:extent cx="5486400" cy="3200400"/>
            <wp:effectExtent l="0" t="0" r="0" b="0"/>
            <wp:docPr id="1962623605" name="Chart 1962623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EF701A" w:rsidRDefault="00EF701A" w:rsidP="00BA3795"/>
    <w:p w:rsidR="00EF701A" w:rsidRDefault="00BA3795" w:rsidP="00C06E6F">
      <w:pPr>
        <w:pStyle w:val="sherbimiemristyle"/>
        <w:jc w:val="left"/>
      </w:pPr>
      <w:bookmarkStart w:id="43" w:name="_Toc210053359"/>
      <w:r>
        <w:lastRenderedPageBreak/>
        <w:t>Policia bashkiake</w:t>
      </w:r>
      <w:bookmarkEnd w:id="43"/>
    </w:p>
    <w:p w:rsidR="00EF701A" w:rsidRDefault="00EF701A">
      <w:pPr>
        <w:rPr>
          <w:color w:val="0A2F41" w:themeColor="accent1" w:themeShade="80"/>
        </w:rPr>
      </w:pPr>
    </w:p>
    <w:p w:rsidR="00EF701A" w:rsidRDefault="00BA3795" w:rsidP="00BA3795">
      <w:pPr>
        <w:pStyle w:val="paragraphstyle"/>
      </w:pPr>
      <w:r>
        <w:t>Ky shërbim siguron mbrojtjen, qetësinë dhe mbarëvajtjen e jetës dhe punëve publike brenda territorit të njësisë, në përputhje me dispozitat ligjore, kur nuk janë në kompetencë të ndonjë autoriteti tjetër shtetëror. Ai përfshin gjithashtu ekzekutimin e akteve të nxjerra nga Kryetari i Njësisë dhe zbatimin e vendimeve të Këshillit të Njësisë. Performanca e shërbimit vlerësohet përmes treguesve kryesorë: raporti në përqindje i ankesave dhe konflikteve të zgjidhura ndaj numrit të tyre total në polici, raporti midis punonjësve me status të oficerit të policisë bashkiake ndaj numrit total të punonjësve të policisë bashkiake, dhe raporti në përqindje i punonjësve të trajnuar ndaj numrit total të punonjësve.</w:t>
      </w:r>
    </w:p>
    <w:p w:rsidR="00EF701A" w:rsidRDefault="00EF701A" w:rsidP="00BA3795">
      <w:pPr>
        <w:pStyle w:val="paragraphstyle"/>
      </w:pPr>
    </w:p>
    <w:p w:rsidR="00EF701A" w:rsidRDefault="00BA3795" w:rsidP="00BA3795">
      <w:pPr>
        <w:pStyle w:val="paragraphstyle"/>
        <w:sectPr w:rsidR="00EF701A" w:rsidSect="00BA3795">
          <w:headerReference w:type="even" r:id="rId132"/>
          <w:footerReference w:type="even" r:id="rId133"/>
          <w:footerReference w:type="default" r:id="rId134"/>
          <w:headerReference w:type="first" r:id="rId135"/>
          <w:footerReference w:type="first" r:id="rId136"/>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704320" behindDoc="0" locked="0" layoutInCell="1" allowOverlap="1" wp14:anchorId="21AC5CAE" wp14:editId="6C6C36BB">
                <wp:simplePos x="0" y="0"/>
                <wp:positionH relativeFrom="margin">
                  <wp:align>right</wp:align>
                </wp:positionH>
                <wp:positionV relativeFrom="paragraph">
                  <wp:posOffset>445135</wp:posOffset>
                </wp:positionV>
                <wp:extent cx="5925185" cy="3346450"/>
                <wp:effectExtent l="0" t="0" r="0" b="6350"/>
                <wp:wrapSquare wrapText="bothSides"/>
                <wp:docPr id="1175364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01DB306F" wp14:editId="50DDD29D">
                                  <wp:extent cx="5730000" cy="3260000"/>
                                  <wp:effectExtent l="0" t="0" r="0" b="0"/>
                                  <wp:docPr id="1533171892" name="Picture 153317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7"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C5CAE" id="_x0000_s1042" type="#_x0000_t202" style="position:absolute;left:0;text-align:left;margin-left:415.35pt;margin-top:35.05pt;width:466.55pt;height:263.5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D0L/Uy&#10;SwIAANg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01DB306F" wp14:editId="50DDD29D">
                            <wp:extent cx="5730000" cy="3260000"/>
                            <wp:effectExtent l="0" t="0" r="0" b="0"/>
                            <wp:docPr id="1533171892" name="Picture 153317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7"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578"/>
        <w:gridCol w:w="4896"/>
        <w:gridCol w:w="756"/>
        <w:gridCol w:w="756"/>
        <w:gridCol w:w="696"/>
        <w:gridCol w:w="756"/>
        <w:gridCol w:w="75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Punonjësit e policisë bashkiake janë të kualifikuar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numrit të  punonjësve të trajnuar ndaj numrit të punonjësve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numrit të ankesave të qytetarëve që janë menaxhuar nga policia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ankesave dhe konflikteve të zgjidhura kundrejt numrit të tyre në total të ardhur në policinë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81.52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87.88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81.08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88.24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77.78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Punonjësit e policisë bashkiake gëzojnë statusin sipas ligjit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midis punonjësve me status të oficerit të policisë bashkiake kundrejt numrit total të punonjësve të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rasteve të menaxhuara nga ana e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akteve të ekzekutuara kundrejt akteve të nxjerra (në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Default="00BA3795" w:rsidP="00BA3795">
      <w:pPr>
        <w:rPr>
          <w:rFonts w:cs="Times New Roman"/>
        </w:rPr>
      </w:pPr>
      <w:r w:rsidRPr="00F300AB">
        <w:rPr>
          <w:rFonts w:cs="Times New Roman"/>
        </w:rPr>
        <w:lastRenderedPageBreak/>
        <w:t>Më poshtë do të gjeni treguesit e analizuar, të paraqitur gjithashtu në formë grafike për një kuptim më të lehtë dhe vizual.</w:t>
      </w:r>
    </w:p>
    <w:p w:rsidR="00EF701A" w:rsidRDefault="00EF701A"/>
    <w:p w:rsidR="00EF701A" w:rsidRDefault="00BA3795" w:rsidP="00BA3795">
      <w:pPr>
        <w:pStyle w:val="indicatorNameStyle"/>
        <w:numPr>
          <w:ilvl w:val="0"/>
          <w:numId w:val="3"/>
        </w:numPr>
      </w:pPr>
      <w:r>
        <w:t>Punonjësit e policisë bashkiake janë të kualifikuar</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C06E6F">
            <w:pPr>
              <w:pStyle w:val="StyleofText"/>
              <w:ind w:left="360"/>
            </w:pPr>
            <w:r>
              <w:t>Raporti në % i numrit të  punonjësve të trajnuar ndaj numrit të punonjësve total</w:t>
            </w:r>
          </w:p>
        </w:tc>
      </w:tr>
    </w:tbl>
    <w:p w:rsidR="00EF701A" w:rsidRDefault="00BA3795">
      <w:pPr>
        <w:pStyle w:val="NormalWeb"/>
        <w:divId w:val="1303198230"/>
      </w:pPr>
      <w:r>
        <w:t xml:space="preserve">Të dhënat e bashkisë Roskovec për raportin në përqindje të numrit të punonjësve të trajnuar ndaj numrit total të punonjësve paraqesin një variacion të madh gjatë viteve të analizuara. Në vitin </w:t>
      </w:r>
      <w:r>
        <w:rPr>
          <w:rStyle w:val="Strong"/>
          <w:rFonts w:eastAsiaTheme="majorEastAsia"/>
        </w:rPr>
        <w:t>2021</w:t>
      </w:r>
      <w:r>
        <w:t xml:space="preserve">, nuk rezulton të jetë asnjë punonjës i trajnuar, me raport </w:t>
      </w:r>
      <w:r>
        <w:rPr>
          <w:rStyle w:val="Strong"/>
          <w:rFonts w:eastAsiaTheme="majorEastAsia"/>
        </w:rPr>
        <w:t>0%</w:t>
      </w:r>
      <w:r>
        <w:t xml:space="preserve">. Në vitin </w:t>
      </w:r>
      <w:r>
        <w:rPr>
          <w:rStyle w:val="Strong"/>
          <w:rFonts w:eastAsiaTheme="majorEastAsia"/>
        </w:rPr>
        <w:t>2022</w:t>
      </w:r>
      <w:r>
        <w:t xml:space="preserve">, numri i punonjësve të trajnuar arrin kulmin, me </w:t>
      </w:r>
      <w:r>
        <w:rPr>
          <w:rStyle w:val="Strong"/>
          <w:rFonts w:eastAsiaTheme="majorEastAsia"/>
        </w:rPr>
        <w:t>100%</w:t>
      </w:r>
      <w:r>
        <w:t xml:space="preserve"> të tyre të trajnuar, duke treguar një angazhim të fortë për zhvillimin e kapaciteteve të stafit. Ky përqindje bie përsëri në </w:t>
      </w:r>
      <w:r>
        <w:rPr>
          <w:rStyle w:val="Strong"/>
          <w:rFonts w:eastAsiaTheme="majorEastAsia"/>
        </w:rPr>
        <w:t>0%</w:t>
      </w:r>
      <w:r>
        <w:t xml:space="preserve"> për vitet </w:t>
      </w:r>
      <w:r>
        <w:rPr>
          <w:rStyle w:val="Strong"/>
          <w:rFonts w:eastAsiaTheme="majorEastAsia"/>
        </w:rPr>
        <w:t>2023</w:t>
      </w:r>
      <w:r>
        <w:t xml:space="preserv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Kjo sugjeron se në këto vite nuk është zbatuar asnjë program trajnimi. Variacioni i madh nga </w:t>
      </w:r>
      <w:r>
        <w:rPr>
          <w:rStyle w:val="Strong"/>
          <w:rFonts w:eastAsiaTheme="majorEastAsia"/>
        </w:rPr>
        <w:t>0%</w:t>
      </w:r>
      <w:r>
        <w:t xml:space="preserve"> në </w:t>
      </w:r>
      <w:r>
        <w:rPr>
          <w:rStyle w:val="Strong"/>
          <w:rFonts w:eastAsiaTheme="majorEastAsia"/>
        </w:rPr>
        <w:t>100%</w:t>
      </w:r>
      <w:r>
        <w:t xml:space="preserve"> dhe përsëri në </w:t>
      </w:r>
      <w:r>
        <w:rPr>
          <w:rStyle w:val="Strong"/>
          <w:rFonts w:eastAsiaTheme="majorEastAsia"/>
        </w:rPr>
        <w:t>0%</w:t>
      </w:r>
      <w:r>
        <w:t xml:space="preserve"> tregon një ndryshim të papritur në politikën apo burimet e trajnimit. Faktori i vitit </w:t>
      </w:r>
      <w:r>
        <w:rPr>
          <w:rStyle w:val="Strong"/>
          <w:rFonts w:eastAsiaTheme="majorEastAsia"/>
        </w:rPr>
        <w:t>2022</w:t>
      </w:r>
      <w:r>
        <w:t xml:space="preserve"> ngre pyetje mbi arsyet pas këtij suksesi të jashtëzakonshëm, të cilat mund të përfshijnë mbështetje të jashtme ose projekte të veçanta. Mungesa e vazhdimësisë në vitet pasuese thekson nevojën për një strategji të qëndrueshme të zhvillimit profesional të punonjësve. Analiza e këtyre shifrave mund të jetë e dobishme për të identifikuar mundësitë dhe sfidat e menaxhimit të burimeve njerëzore në këtë bashki.</w:t>
      </w:r>
    </w:p>
    <w:p w:rsidR="00EF701A" w:rsidRDefault="00EF701A" w:rsidP="00BA3795"/>
    <w:p w:rsidR="00EF701A" w:rsidRDefault="00BA3795">
      <w:r>
        <w:rPr>
          <w:noProof/>
        </w:rPr>
        <w:drawing>
          <wp:inline distT="0" distB="0" distL="0" distR="0" wp14:anchorId="0E7C94A1" wp14:editId="5C5E9F28">
            <wp:extent cx="5486400" cy="3200400"/>
            <wp:effectExtent l="0" t="0" r="0" b="0"/>
            <wp:docPr id="705668473" name="Chart 705668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EF701A" w:rsidRPr="00F300AB" w:rsidRDefault="00EF701A" w:rsidP="00BA3795">
      <w:pPr>
        <w:rPr>
          <w:rFonts w:cs="Times New Roman"/>
        </w:rPr>
        <w:sectPr w:rsidR="00EF701A" w:rsidRPr="00F300AB" w:rsidSect="00BA3795">
          <w:pgSz w:w="12240" w:h="15840"/>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6614"/>
        <w:gridCol w:w="1056"/>
        <w:gridCol w:w="1056"/>
        <w:gridCol w:w="1056"/>
        <w:gridCol w:w="1056"/>
        <w:gridCol w:w="1056"/>
        <w:gridCol w:w="10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punonjësve të policisë bashkiake të trajnuar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punonjësve të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495720">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495720">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495720">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495720">
            <w:pPr>
              <w:spacing w:after="0" w:line="240" w:lineRule="auto"/>
            </w:pPr>
            <w:r>
              <w:t>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Punonjës me statusin oficer të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Shpenzimet e programit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4080000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4807000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5978000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6565000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6565000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6565000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Kamera të vendosura në pika strategjike të qytetit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akteve administrative të nxjerra nga organet e qeverisjes vendore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akteve administrative të ekzekutuara nga policia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total i punonjëseve femra të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 të mbledhura nga gjobat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8600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12000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Raste konfliktesh/mosmarreveshjes te zgjidhura nga policia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rasteve të konflikteve/mosmarrëveshjeve të raportuara dhe regjistruara në policinë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85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Gjoba të vendosura nga policia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stafit I angazhuar per sherbimin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9</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BA3795">
      <w:pPr>
        <w:pStyle w:val="dataNameStyle"/>
      </w:pPr>
      <w:r>
        <w:t>Numri total i punonjësve të policisë bashkiake</w:t>
      </w:r>
    </w:p>
    <w:p w:rsidR="00EF701A" w:rsidRDefault="00EF701A" w:rsidP="00BA3795"/>
    <w:p w:rsidR="00C06E6F" w:rsidRPr="00C06E6F" w:rsidRDefault="00C06E6F" w:rsidP="00C06E6F">
      <w:r w:rsidRPr="00C06E6F">
        <w:t xml:space="preserve">Të dhënat për numrin total të punonjësve të policisë bashkiake në </w:t>
      </w:r>
      <w:r w:rsidRPr="00C06E6F">
        <w:rPr>
          <w:b/>
          <w:bCs/>
        </w:rPr>
        <w:t>Bashkinë Roskovec</w:t>
      </w:r>
      <w:r w:rsidRPr="00C06E6F">
        <w:t xml:space="preserve"> tregojnë një stabilitet dhe rritje të lehtë përgjatë viteve. Në vitin </w:t>
      </w:r>
      <w:r w:rsidRPr="00C06E6F">
        <w:rPr>
          <w:b/>
          <w:bCs/>
        </w:rPr>
        <w:t>2021</w:t>
      </w:r>
      <w:r w:rsidRPr="00C06E6F">
        <w:t xml:space="preserve"> dhe </w:t>
      </w:r>
      <w:r w:rsidRPr="00C06E6F">
        <w:rPr>
          <w:b/>
          <w:bCs/>
        </w:rPr>
        <w:t>2022</w:t>
      </w:r>
      <w:r w:rsidRPr="00C06E6F">
        <w:t xml:space="preserve">, kjo bashki kishte një numër konstant prej </w:t>
      </w:r>
      <w:r w:rsidRPr="00C06E6F">
        <w:rPr>
          <w:b/>
          <w:bCs/>
        </w:rPr>
        <w:t>7 punonjës</w:t>
      </w:r>
      <w:r w:rsidRPr="00C06E6F">
        <w:t xml:space="preserve">. Kjo tregon një epokë stabiliteti ose ndoshta burime të kufizuara operative gjatë këtyre dy viteve. Megjithatë, nga viti </w:t>
      </w:r>
      <w:r w:rsidRPr="00C06E6F">
        <w:rPr>
          <w:b/>
          <w:bCs/>
        </w:rPr>
        <w:t>2023</w:t>
      </w:r>
      <w:r w:rsidRPr="00C06E6F">
        <w:t xml:space="preserve">, ka një rritje deri në </w:t>
      </w:r>
      <w:r w:rsidR="00495720">
        <w:rPr>
          <w:b/>
          <w:bCs/>
        </w:rPr>
        <w:t>8</w:t>
      </w:r>
      <w:r w:rsidRPr="00C06E6F">
        <w:rPr>
          <w:b/>
          <w:bCs/>
        </w:rPr>
        <w:t xml:space="preserve"> punonjës</w:t>
      </w:r>
      <w:r w:rsidRPr="00C06E6F">
        <w:t xml:space="preserve">. Ky numër vazhdon të mbetet i qëndrueshëm në vitet </w:t>
      </w:r>
      <w:r w:rsidRPr="00C06E6F">
        <w:rPr>
          <w:b/>
          <w:bCs/>
        </w:rPr>
        <w:t>2024</w:t>
      </w:r>
      <w:r w:rsidRPr="00C06E6F">
        <w:t xml:space="preserve">, </w:t>
      </w:r>
      <w:r w:rsidRPr="00C06E6F">
        <w:rPr>
          <w:b/>
          <w:bCs/>
        </w:rPr>
        <w:t>2025</w:t>
      </w:r>
      <w:r w:rsidRPr="00C06E6F">
        <w:t xml:space="preserve">, dhe </w:t>
      </w:r>
      <w:r w:rsidRPr="00C06E6F">
        <w:rPr>
          <w:b/>
          <w:bCs/>
        </w:rPr>
        <w:t>2026</w:t>
      </w:r>
      <w:r w:rsidRPr="00C06E6F">
        <w:t>. Kjo mund të reflektojë një rritje në nevojën për shërbime policore ose një zgjerim të përgjegjësive të kësaj force. Rritja e kapacitetit mund të vijë si rezultat i ndryshimeve në politikën lokale ose nevojave të komunitetit. Përqëndrimi në rritjen e burimeve njerëzore tregon një angazhim për të përmirësuar sigurinë publike. Gjithashtu, kjo tendencë mund të ndikojë pozitivisht në perceptimin e sigurisë dhe reagimin e shpejtë ndaj situatave emergjente. Këto të dhëna ndihmojnë për të ndjekur zhvillimin e fuqizimit të resurseve njerëzore në bashkinë Roskovec.</w:t>
      </w:r>
    </w:p>
    <w:p w:rsidR="00EF701A" w:rsidRDefault="00EF701A" w:rsidP="00BA3795"/>
    <w:p w:rsidR="00EF701A" w:rsidRDefault="00533960" w:rsidP="00BA3795">
      <w:r>
        <w:rPr>
          <w:noProof/>
        </w:rPr>
        <w:drawing>
          <wp:inline distT="0" distB="0" distL="0" distR="0">
            <wp:extent cx="4324350" cy="2724150"/>
            <wp:effectExtent l="0" t="0" r="0" b="0"/>
            <wp:docPr id="8" name="Picture 5" descr="Screenshot 2025-11-13 13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2025-11-13 1336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24350" cy="2724150"/>
                    </a:xfrm>
                    <a:prstGeom prst="rect">
                      <a:avLst/>
                    </a:prstGeom>
                    <a:noFill/>
                    <a:ln>
                      <a:noFill/>
                    </a:ln>
                  </pic:spPr>
                </pic:pic>
              </a:graphicData>
            </a:graphic>
          </wp:inline>
        </w:drawing>
      </w:r>
    </w:p>
    <w:p w:rsidR="00EF701A" w:rsidRDefault="00EF701A" w:rsidP="00BA3795"/>
    <w:p w:rsidR="00EF701A" w:rsidRDefault="00EF701A"/>
    <w:p w:rsidR="00EF701A" w:rsidRDefault="00BA3795" w:rsidP="00C06E6F">
      <w:pPr>
        <w:pStyle w:val="dataNameStyle"/>
      </w:pPr>
      <w:r>
        <w:lastRenderedPageBreak/>
        <w:t>Shpenzimet e programit në lekë</w:t>
      </w:r>
    </w:p>
    <w:p w:rsidR="00EF701A" w:rsidRDefault="00BA3795">
      <w:pPr>
        <w:pStyle w:val="NormalWeb"/>
        <w:divId w:val="1933707257"/>
      </w:pPr>
      <w:r>
        <w:t xml:space="preserve">Të dhënat e bashkisë Roskovec mbi shpenzimet e programit tregojnë një rritje të qëndrueshme gjatë viteve. Në vitin </w:t>
      </w:r>
      <w:r>
        <w:rPr>
          <w:rStyle w:val="Strong"/>
          <w:rFonts w:eastAsiaTheme="majorEastAsia"/>
        </w:rPr>
        <w:t>2021</w:t>
      </w:r>
      <w:r>
        <w:t xml:space="preserve">, shpenzimet ishin </w:t>
      </w:r>
      <w:r>
        <w:rPr>
          <w:rStyle w:val="Strong"/>
          <w:rFonts w:eastAsiaTheme="majorEastAsia"/>
        </w:rPr>
        <w:t>4,080,000</w:t>
      </w:r>
      <w:r>
        <w:t xml:space="preserve"> lekë. Këto u rritën në </w:t>
      </w:r>
      <w:r>
        <w:rPr>
          <w:rStyle w:val="Strong"/>
          <w:rFonts w:eastAsiaTheme="majorEastAsia"/>
        </w:rPr>
        <w:t>2022</w:t>
      </w:r>
      <w:r>
        <w:t xml:space="preserve"> duke arritur në </w:t>
      </w:r>
      <w:r>
        <w:rPr>
          <w:rStyle w:val="Strong"/>
          <w:rFonts w:eastAsiaTheme="majorEastAsia"/>
        </w:rPr>
        <w:t>4,807,000</w:t>
      </w:r>
      <w:r>
        <w:t xml:space="preserve"> lekë. Në vitin </w:t>
      </w:r>
      <w:r>
        <w:rPr>
          <w:rStyle w:val="Strong"/>
          <w:rFonts w:eastAsiaTheme="majorEastAsia"/>
        </w:rPr>
        <w:t>2023</w:t>
      </w:r>
      <w:r>
        <w:t xml:space="preserve">, pati rritje të konsiderueshme të shpenzimeve në </w:t>
      </w:r>
      <w:r>
        <w:rPr>
          <w:rStyle w:val="Strong"/>
          <w:rFonts w:eastAsiaTheme="majorEastAsia"/>
        </w:rPr>
        <w:t>5,978,000</w:t>
      </w:r>
      <w:r>
        <w:t xml:space="preserve"> lekë. Për vitin </w:t>
      </w:r>
      <w:r>
        <w:rPr>
          <w:rStyle w:val="Strong"/>
          <w:rFonts w:eastAsiaTheme="majorEastAsia"/>
        </w:rPr>
        <w:t>2024</w:t>
      </w:r>
      <w:r>
        <w:t xml:space="preserve">, pritet një rritje e mëtejshme që do të arrijë </w:t>
      </w:r>
      <w:r>
        <w:rPr>
          <w:rStyle w:val="Strong"/>
          <w:rFonts w:eastAsiaTheme="majorEastAsia"/>
        </w:rPr>
        <w:t>6,565,000</w:t>
      </w:r>
      <w:r>
        <w:t xml:space="preserve"> lekë. Këto shpenzime pritet të mbeten të qëndrueshme në </w:t>
      </w:r>
      <w:r>
        <w:rPr>
          <w:rStyle w:val="Strong"/>
          <w:rFonts w:eastAsiaTheme="majorEastAsia"/>
        </w:rPr>
        <w:t>2025</w:t>
      </w:r>
      <w:r>
        <w:t xml:space="preserve"> dhe </w:t>
      </w:r>
      <w:r>
        <w:rPr>
          <w:rStyle w:val="Strong"/>
          <w:rFonts w:eastAsiaTheme="majorEastAsia"/>
        </w:rPr>
        <w:t>2026</w:t>
      </w:r>
      <w:r>
        <w:t xml:space="preserve">, me të njëjtën vlerë prej </w:t>
      </w:r>
      <w:r>
        <w:rPr>
          <w:rStyle w:val="Strong"/>
          <w:rFonts w:eastAsiaTheme="majorEastAsia"/>
        </w:rPr>
        <w:t>6,565,000</w:t>
      </w:r>
      <w:r>
        <w:t xml:space="preserve"> lekë. Analiza tregon një tendencë sistematike në rritje të shpenzimeve përgjatë kohës. Rritja e ndjeshme nga viti në vit tregon investime apo shpenzime të shtuar për përmirësime apo zhvillime të ndryshme. Lidhja mes të dhënave sugjeron se prioritetet e bashkisë po zgjerojnë buxhetin për të akomoduar nevoja të reja apo të zgjeruara. Ky trend pozitiv mund të jetë reflektim i strategjisë së zhvillimit lokal ose prioriteteve të tjera të bashkisë.</w:t>
      </w:r>
    </w:p>
    <w:p w:rsidR="00EF701A" w:rsidRDefault="00EF701A" w:rsidP="00BA3795"/>
    <w:p w:rsidR="00EF701A" w:rsidRDefault="00BA3795" w:rsidP="00BA3795">
      <w:r>
        <w:rPr>
          <w:noProof/>
        </w:rPr>
        <w:drawing>
          <wp:inline distT="0" distB="0" distL="0" distR="0" wp14:anchorId="1BF23EE4" wp14:editId="376383C6">
            <wp:extent cx="5486400" cy="3200400"/>
            <wp:effectExtent l="0" t="0" r="0" b="0"/>
            <wp:docPr id="1582340542" name="Chart 1582340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EF701A" w:rsidRDefault="00EF701A" w:rsidP="00BA3795"/>
    <w:p w:rsidR="00EF701A" w:rsidRDefault="00BA3795" w:rsidP="00C06E6F">
      <w:pPr>
        <w:pStyle w:val="sherbimiemristyle"/>
        <w:jc w:val="left"/>
      </w:pPr>
      <w:bookmarkStart w:id="44" w:name="_Toc210053360"/>
      <w:r>
        <w:lastRenderedPageBreak/>
        <w:t>Shërbimet bujqësore, inspektimi, siguria ushqimore dhe mbrojtja e konsumatorëve</w:t>
      </w:r>
      <w:bookmarkEnd w:id="44"/>
    </w:p>
    <w:p w:rsidR="00EF701A" w:rsidRDefault="00EF701A">
      <w:pPr>
        <w:rPr>
          <w:color w:val="0A2F41" w:themeColor="accent1" w:themeShade="80"/>
        </w:rPr>
      </w:pPr>
    </w:p>
    <w:p w:rsidR="00EF701A" w:rsidRDefault="00BA3795" w:rsidP="00BA3795">
      <w:pPr>
        <w:pStyle w:val="paragraphstyle"/>
        <w:sectPr w:rsidR="00EF701A" w:rsidSect="00BA3795">
          <w:headerReference w:type="even" r:id="rId141"/>
          <w:footerReference w:type="even" r:id="rId142"/>
          <w:footerReference w:type="default" r:id="rId143"/>
          <w:headerReference w:type="first" r:id="rId144"/>
          <w:footerReference w:type="first" r:id="rId145"/>
          <w:pgSz w:w="12240" w:h="15840"/>
          <w:pgMar w:top="1440" w:right="1440" w:bottom="1440" w:left="1440" w:header="720" w:footer="720" w:gutter="0"/>
          <w:cols w:space="720"/>
          <w:docGrid w:linePitch="360"/>
        </w:sectPr>
      </w:pPr>
      <w:r>
        <w:t xml:space="preserve">Shërbimet bujqësore, inspektimi, siguria ushqimore dhe mbrojtja e konsumatorëve përfshijnë administrimin dhe mbrojtjen e tokave bujqësore dhe resurseve të tjera natyrore, organizimin dhe mbështetjen e shërbimeve për blegtorinë, peshkimin dhe gjuetinë, mbrojtjen dhe shfrytëzimin racional të peshkut dhe kafshëve të egra, si dhe krijimin dhe administrimin e skemave vendore të granteve për bujqësinë dhe zhvillimin rural. Ky funksion financohet pjesërisht nga fondet e </w:t>
      </w:r>
      <w:r w:rsidR="00CF5C5E">
        <w:t>pushtetit qendror për</w:t>
      </w:r>
      <w:r w:rsidR="00B676FE" w:rsidRPr="00B676FE">
        <w:t xml:space="preserve"> detyrimet e deleguara të administrimit dhe mbrojtjes së tokës</w:t>
      </w:r>
      <w:r w:rsidR="00CF5C5E">
        <w:t xml:space="preserve"> </w:t>
      </w:r>
      <w:r w:rsidRPr="007F55F6">
        <w:rPr>
          <w:noProof/>
        </w:rPr>
        <mc:AlternateContent>
          <mc:Choice Requires="wps">
            <w:drawing>
              <wp:anchor distT="45720" distB="45720" distL="114300" distR="114300" simplePos="0" relativeHeight="251706368" behindDoc="0" locked="0" layoutInCell="1" allowOverlap="1" wp14:anchorId="7FC31FB0" wp14:editId="7BA39E31">
                <wp:simplePos x="0" y="0"/>
                <wp:positionH relativeFrom="margin">
                  <wp:align>right</wp:align>
                </wp:positionH>
                <wp:positionV relativeFrom="paragraph">
                  <wp:posOffset>445135</wp:posOffset>
                </wp:positionV>
                <wp:extent cx="5925185" cy="3346450"/>
                <wp:effectExtent l="0" t="0" r="0" b="6350"/>
                <wp:wrapSquare wrapText="bothSides"/>
                <wp:docPr id="1413257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68E5A508" wp14:editId="4CF90623">
                                  <wp:extent cx="5730000" cy="3260000"/>
                                  <wp:effectExtent l="0" t="0" r="0" b="0"/>
                                  <wp:docPr id="1527496070" name="Picture 152749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6"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31FB0" id="_x0000_s1043" type="#_x0000_t202" style="position:absolute;left:0;text-align:left;margin-left:415.35pt;margin-top:35.05pt;width:466.55pt;height:263.5pt;z-index:251706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" filled="f" stroked="f">
                <v:textbox>
                  <w:txbxContent>
                    <w:p w:rsidR="00A8516B" w:rsidRDefault="00A8516B" w:rsidP="00BA3795">
                      <w:r>
                        <w:rPr>
                          <w:noProof/>
                        </w:rPr>
                        <w:drawing>
                          <wp:inline distT="0" distB="0" distL="0" distR="0" wp14:anchorId="68E5A508" wp14:editId="4CF90623">
                            <wp:extent cx="5730000" cy="3260000"/>
                            <wp:effectExtent l="0" t="0" r="0" b="0"/>
                            <wp:docPr id="1527496070" name="Picture 152749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6"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Style w:val="TableGrid"/>
        <w:tblpPr w:leftFromText="180" w:rightFromText="180" w:vertAnchor="page" w:horzAnchor="margin" w:tblpY="3916"/>
        <w:tblW w:w="10098" w:type="dxa"/>
        <w:tblLayout w:type="fixed"/>
        <w:tblLook w:val="04A0" w:firstRow="1" w:lastRow="0" w:firstColumn="1" w:lastColumn="0" w:noHBand="0" w:noVBand="1"/>
      </w:tblPr>
      <w:tblGrid>
        <w:gridCol w:w="1998"/>
        <w:gridCol w:w="1530"/>
        <w:gridCol w:w="1440"/>
        <w:gridCol w:w="1260"/>
        <w:gridCol w:w="1440"/>
        <w:gridCol w:w="1440"/>
        <w:gridCol w:w="990"/>
      </w:tblGrid>
      <w:tr w:rsidR="00DC6E53" w:rsidRPr="003312A3" w:rsidTr="00DC6E53">
        <w:tc>
          <w:tcPr>
            <w:tcW w:w="1998" w:type="dxa"/>
          </w:tcPr>
          <w:p w:rsidR="00DC6E53" w:rsidRPr="00DC6E53" w:rsidRDefault="00DC6E53" w:rsidP="00DC6E53">
            <w:pPr>
              <w:rPr>
                <w:rFonts w:cs="Times New Roman"/>
                <w:b/>
                <w:sz w:val="24"/>
                <w:szCs w:val="24"/>
              </w:rPr>
            </w:pPr>
            <w:r w:rsidRPr="00DC6E53">
              <w:rPr>
                <w:rFonts w:cs="Times New Roman"/>
                <w:b/>
                <w:sz w:val="24"/>
                <w:szCs w:val="24"/>
              </w:rPr>
              <w:t>Ë dhena</w:t>
            </w:r>
          </w:p>
        </w:tc>
        <w:tc>
          <w:tcPr>
            <w:tcW w:w="1530" w:type="dxa"/>
          </w:tcPr>
          <w:p w:rsidR="00DC6E53" w:rsidRPr="00DC6E53" w:rsidRDefault="00DC6E53" w:rsidP="00DC6E53">
            <w:pPr>
              <w:rPr>
                <w:rFonts w:cs="Times New Roman"/>
                <w:b/>
                <w:sz w:val="24"/>
                <w:szCs w:val="24"/>
              </w:rPr>
            </w:pPr>
            <w:r w:rsidRPr="00DC6E53">
              <w:rPr>
                <w:rFonts w:cs="Times New Roman"/>
                <w:b/>
                <w:sz w:val="24"/>
                <w:szCs w:val="24"/>
              </w:rPr>
              <w:t>2021</w:t>
            </w:r>
          </w:p>
        </w:tc>
        <w:tc>
          <w:tcPr>
            <w:tcW w:w="1440" w:type="dxa"/>
          </w:tcPr>
          <w:p w:rsidR="00DC6E53" w:rsidRPr="00DC6E53" w:rsidRDefault="00DC6E53" w:rsidP="00DC6E53">
            <w:pPr>
              <w:rPr>
                <w:rFonts w:cs="Times New Roman"/>
                <w:b/>
                <w:sz w:val="24"/>
                <w:szCs w:val="24"/>
              </w:rPr>
            </w:pPr>
            <w:r w:rsidRPr="00DC6E53">
              <w:rPr>
                <w:rFonts w:cs="Times New Roman"/>
                <w:b/>
                <w:sz w:val="24"/>
                <w:szCs w:val="24"/>
              </w:rPr>
              <w:t>2022</w:t>
            </w:r>
          </w:p>
        </w:tc>
        <w:tc>
          <w:tcPr>
            <w:tcW w:w="1260" w:type="dxa"/>
          </w:tcPr>
          <w:p w:rsidR="00DC6E53" w:rsidRPr="00DC6E53" w:rsidRDefault="00DC6E53" w:rsidP="00DC6E53">
            <w:pPr>
              <w:rPr>
                <w:rFonts w:cs="Times New Roman"/>
                <w:b/>
                <w:sz w:val="24"/>
                <w:szCs w:val="24"/>
              </w:rPr>
            </w:pPr>
            <w:r w:rsidRPr="00DC6E53">
              <w:rPr>
                <w:rFonts w:cs="Times New Roman"/>
                <w:b/>
                <w:sz w:val="24"/>
                <w:szCs w:val="24"/>
              </w:rPr>
              <w:t>2023</w:t>
            </w:r>
          </w:p>
        </w:tc>
        <w:tc>
          <w:tcPr>
            <w:tcW w:w="1440" w:type="dxa"/>
          </w:tcPr>
          <w:p w:rsidR="00DC6E53" w:rsidRPr="00DC6E53" w:rsidRDefault="00DC6E53" w:rsidP="00DC6E53">
            <w:pPr>
              <w:rPr>
                <w:rFonts w:cs="Times New Roman"/>
                <w:b/>
                <w:sz w:val="24"/>
                <w:szCs w:val="24"/>
              </w:rPr>
            </w:pPr>
            <w:r w:rsidRPr="00DC6E53">
              <w:rPr>
                <w:rFonts w:cs="Times New Roman"/>
                <w:b/>
                <w:sz w:val="24"/>
                <w:szCs w:val="24"/>
              </w:rPr>
              <w:t>2024</w:t>
            </w:r>
          </w:p>
        </w:tc>
        <w:tc>
          <w:tcPr>
            <w:tcW w:w="1440" w:type="dxa"/>
          </w:tcPr>
          <w:p w:rsidR="00DC6E53" w:rsidRPr="00DC6E53" w:rsidRDefault="00DC6E53" w:rsidP="00DC6E53">
            <w:pPr>
              <w:rPr>
                <w:rFonts w:cs="Times New Roman"/>
                <w:b/>
                <w:sz w:val="24"/>
                <w:szCs w:val="24"/>
              </w:rPr>
            </w:pPr>
            <w:r w:rsidRPr="00DC6E53">
              <w:rPr>
                <w:rFonts w:cs="Times New Roman"/>
                <w:b/>
                <w:sz w:val="24"/>
                <w:szCs w:val="24"/>
              </w:rPr>
              <w:t>2025</w:t>
            </w:r>
          </w:p>
        </w:tc>
        <w:tc>
          <w:tcPr>
            <w:tcW w:w="990" w:type="dxa"/>
          </w:tcPr>
          <w:p w:rsidR="00DC6E53" w:rsidRPr="00DC6E53" w:rsidRDefault="00DC6E53" w:rsidP="00DC6E53">
            <w:pPr>
              <w:rPr>
                <w:rFonts w:cs="Times New Roman"/>
                <w:b/>
                <w:sz w:val="24"/>
                <w:szCs w:val="24"/>
              </w:rPr>
            </w:pPr>
            <w:r w:rsidRPr="00DC6E53">
              <w:rPr>
                <w:rFonts w:cs="Times New Roman"/>
                <w:b/>
                <w:sz w:val="24"/>
                <w:szCs w:val="24"/>
              </w:rPr>
              <w:t>2026</w:t>
            </w:r>
          </w:p>
        </w:tc>
      </w:tr>
      <w:tr w:rsidR="00DC6E53" w:rsidRPr="003312A3" w:rsidTr="00DC6E53">
        <w:trPr>
          <w:trHeight w:val="165"/>
        </w:trPr>
        <w:tc>
          <w:tcPr>
            <w:tcW w:w="1998"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Sipërfaqa e tokës bujqësore (në ha)</w:t>
            </w:r>
          </w:p>
        </w:tc>
        <w:tc>
          <w:tcPr>
            <w:tcW w:w="153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c>
          <w:tcPr>
            <w:tcW w:w="144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c>
          <w:tcPr>
            <w:tcW w:w="126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c>
          <w:tcPr>
            <w:tcW w:w="144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c>
          <w:tcPr>
            <w:tcW w:w="144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c>
          <w:tcPr>
            <w:tcW w:w="99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9118 ha </w:t>
            </w:r>
          </w:p>
        </w:tc>
      </w:tr>
      <w:tr w:rsidR="00DC6E53" w:rsidRPr="003312A3" w:rsidTr="00DC6E53">
        <w:trPr>
          <w:trHeight w:val="90"/>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Numri i fermerëve në Bashkinë Roskovec me NIPT  fermeri </w:t>
            </w:r>
          </w:p>
        </w:tc>
        <w:tc>
          <w:tcPr>
            <w:tcW w:w="1530" w:type="dxa"/>
            <w:tcBorders>
              <w:top w:val="single" w:sz="4" w:space="0" w:color="auto"/>
            </w:tcBorders>
            <w:vAlign w:val="bottom"/>
          </w:tcPr>
          <w:p w:rsidR="00DC6E53" w:rsidRPr="003312A3" w:rsidRDefault="00DC6E53" w:rsidP="00DC6E53">
            <w:pPr>
              <w:jc w:val="right"/>
              <w:rPr>
                <w:rFonts w:cs="Times New Roman"/>
                <w:color w:val="222222"/>
                <w:sz w:val="24"/>
                <w:szCs w:val="24"/>
              </w:rPr>
            </w:pPr>
            <w:r w:rsidRPr="003312A3">
              <w:rPr>
                <w:rFonts w:cs="Times New Roman"/>
                <w:color w:val="222222"/>
                <w:sz w:val="24"/>
                <w:szCs w:val="24"/>
              </w:rPr>
              <w:t>182</w:t>
            </w:r>
          </w:p>
        </w:tc>
        <w:tc>
          <w:tcPr>
            <w:tcW w:w="1440" w:type="dxa"/>
            <w:tcBorders>
              <w:top w:val="single" w:sz="4" w:space="0" w:color="auto"/>
            </w:tcBorders>
            <w:vAlign w:val="bottom"/>
          </w:tcPr>
          <w:p w:rsidR="00DC6E53" w:rsidRPr="003312A3" w:rsidRDefault="00DC6E53" w:rsidP="00DC6E53">
            <w:pPr>
              <w:jc w:val="right"/>
              <w:rPr>
                <w:rFonts w:cs="Times New Roman"/>
                <w:color w:val="222222"/>
                <w:sz w:val="24"/>
                <w:szCs w:val="24"/>
              </w:rPr>
            </w:pPr>
            <w:r w:rsidRPr="003312A3">
              <w:rPr>
                <w:rFonts w:cs="Times New Roman"/>
                <w:color w:val="222222"/>
                <w:sz w:val="24"/>
                <w:szCs w:val="24"/>
              </w:rPr>
              <w:t>444</w:t>
            </w:r>
          </w:p>
        </w:tc>
        <w:tc>
          <w:tcPr>
            <w:tcW w:w="1260" w:type="dxa"/>
            <w:tcBorders>
              <w:top w:val="single" w:sz="4" w:space="0" w:color="auto"/>
            </w:tcBorders>
            <w:vAlign w:val="bottom"/>
          </w:tcPr>
          <w:p w:rsidR="00DC6E53" w:rsidRPr="003312A3" w:rsidRDefault="00DC6E53" w:rsidP="00DC6E53">
            <w:pPr>
              <w:jc w:val="right"/>
              <w:rPr>
                <w:rFonts w:cs="Times New Roman"/>
                <w:color w:val="000000"/>
                <w:sz w:val="24"/>
                <w:szCs w:val="24"/>
              </w:rPr>
            </w:pPr>
            <w:r w:rsidRPr="003312A3">
              <w:rPr>
                <w:rFonts w:cs="Times New Roman"/>
                <w:color w:val="000000"/>
                <w:sz w:val="24"/>
                <w:szCs w:val="24"/>
              </w:rPr>
              <w:t>326</w:t>
            </w:r>
          </w:p>
        </w:tc>
        <w:tc>
          <w:tcPr>
            <w:tcW w:w="1440" w:type="dxa"/>
            <w:tcBorders>
              <w:top w:val="single" w:sz="4" w:space="0" w:color="auto"/>
            </w:tcBorders>
            <w:vAlign w:val="bottom"/>
          </w:tcPr>
          <w:p w:rsidR="00DC6E53" w:rsidRPr="003312A3" w:rsidRDefault="00DC6E53" w:rsidP="00DC6E53">
            <w:pPr>
              <w:jc w:val="right"/>
              <w:rPr>
                <w:rFonts w:cs="Times New Roman"/>
                <w:color w:val="000000"/>
                <w:sz w:val="24"/>
                <w:szCs w:val="24"/>
              </w:rPr>
            </w:pPr>
            <w:r w:rsidRPr="003312A3">
              <w:rPr>
                <w:rFonts w:cs="Times New Roman"/>
                <w:color w:val="000000"/>
                <w:sz w:val="24"/>
                <w:szCs w:val="24"/>
              </w:rPr>
              <w:t>228</w:t>
            </w:r>
          </w:p>
        </w:tc>
        <w:tc>
          <w:tcPr>
            <w:tcW w:w="1440" w:type="dxa"/>
            <w:tcBorders>
              <w:top w:val="single" w:sz="4" w:space="0" w:color="auto"/>
            </w:tcBorders>
            <w:vAlign w:val="bottom"/>
          </w:tcPr>
          <w:p w:rsidR="00DC6E53" w:rsidRPr="003312A3" w:rsidRDefault="00DC6E53" w:rsidP="00DC6E53">
            <w:pPr>
              <w:jc w:val="right"/>
              <w:rPr>
                <w:rFonts w:cs="Times New Roman"/>
                <w:color w:val="222222"/>
                <w:sz w:val="24"/>
                <w:szCs w:val="24"/>
              </w:rPr>
            </w:pPr>
            <w:r w:rsidRPr="003312A3">
              <w:rPr>
                <w:rFonts w:cs="Times New Roman"/>
                <w:color w:val="222222"/>
                <w:sz w:val="24"/>
                <w:szCs w:val="24"/>
              </w:rPr>
              <w:t>220</w:t>
            </w:r>
          </w:p>
        </w:tc>
        <w:tc>
          <w:tcPr>
            <w:tcW w:w="990" w:type="dxa"/>
            <w:tcBorders>
              <w:top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250</w:t>
            </w:r>
          </w:p>
        </w:tc>
      </w:tr>
      <w:tr w:rsidR="00DC6E53" w:rsidRPr="003312A3" w:rsidTr="00DC6E53">
        <w:tc>
          <w:tcPr>
            <w:tcW w:w="1998" w:type="dxa"/>
            <w:tcBorders>
              <w:top w:val="single" w:sz="4" w:space="0" w:color="auto"/>
            </w:tcBorders>
          </w:tcPr>
          <w:p w:rsidR="00DC6E53" w:rsidRPr="003312A3" w:rsidRDefault="00DC6E53" w:rsidP="00DC6E53">
            <w:pPr>
              <w:rPr>
                <w:rFonts w:cs="Times New Roman"/>
                <w:sz w:val="24"/>
                <w:szCs w:val="24"/>
              </w:rPr>
            </w:pPr>
            <w:r w:rsidRPr="003312A3">
              <w:rPr>
                <w:rFonts w:cs="Times New Roman"/>
                <w:sz w:val="24"/>
                <w:szCs w:val="24"/>
              </w:rPr>
              <w:t>Sipërfaqa e serave në territorin e Bashkisë Roskovec</w:t>
            </w:r>
          </w:p>
        </w:tc>
        <w:tc>
          <w:tcPr>
            <w:tcW w:w="1530" w:type="dxa"/>
          </w:tcPr>
          <w:p w:rsidR="00DC6E53" w:rsidRPr="003312A3" w:rsidRDefault="00DC6E53" w:rsidP="00DC6E53">
            <w:pPr>
              <w:rPr>
                <w:rFonts w:cs="Times New Roman"/>
                <w:sz w:val="24"/>
                <w:szCs w:val="24"/>
              </w:rPr>
            </w:pPr>
            <w:r w:rsidRPr="003312A3">
              <w:rPr>
                <w:rFonts w:cs="Times New Roman"/>
                <w:sz w:val="24"/>
                <w:szCs w:val="24"/>
              </w:rPr>
              <w:t>151.9 ha</w:t>
            </w:r>
          </w:p>
        </w:tc>
        <w:tc>
          <w:tcPr>
            <w:tcW w:w="1440" w:type="dxa"/>
          </w:tcPr>
          <w:p w:rsidR="00DC6E53" w:rsidRPr="003312A3" w:rsidRDefault="00DC6E53" w:rsidP="00DC6E53">
            <w:pPr>
              <w:rPr>
                <w:rFonts w:cs="Times New Roman"/>
                <w:sz w:val="24"/>
                <w:szCs w:val="24"/>
              </w:rPr>
            </w:pPr>
            <w:r w:rsidRPr="003312A3">
              <w:rPr>
                <w:rFonts w:cs="Times New Roman"/>
                <w:sz w:val="24"/>
                <w:szCs w:val="24"/>
              </w:rPr>
              <w:t>153.8ha</w:t>
            </w:r>
          </w:p>
        </w:tc>
        <w:tc>
          <w:tcPr>
            <w:tcW w:w="1260" w:type="dxa"/>
          </w:tcPr>
          <w:p w:rsidR="00DC6E53" w:rsidRPr="003312A3" w:rsidRDefault="00DC6E53" w:rsidP="00DC6E53">
            <w:pPr>
              <w:rPr>
                <w:rFonts w:cs="Times New Roman"/>
                <w:sz w:val="24"/>
                <w:szCs w:val="24"/>
              </w:rPr>
            </w:pPr>
            <w:r w:rsidRPr="003312A3">
              <w:rPr>
                <w:rFonts w:cs="Times New Roman"/>
                <w:sz w:val="24"/>
                <w:szCs w:val="24"/>
              </w:rPr>
              <w:t>159.1ha</w:t>
            </w:r>
          </w:p>
        </w:tc>
        <w:tc>
          <w:tcPr>
            <w:tcW w:w="1440" w:type="dxa"/>
          </w:tcPr>
          <w:p w:rsidR="00DC6E53" w:rsidRPr="003312A3" w:rsidRDefault="00DC6E53" w:rsidP="00DC6E53">
            <w:pPr>
              <w:rPr>
                <w:rFonts w:cs="Times New Roman"/>
                <w:sz w:val="24"/>
                <w:szCs w:val="24"/>
              </w:rPr>
            </w:pPr>
            <w:r w:rsidRPr="003312A3">
              <w:rPr>
                <w:rFonts w:cs="Times New Roman"/>
                <w:sz w:val="24"/>
                <w:szCs w:val="24"/>
              </w:rPr>
              <w:t>162.3ha</w:t>
            </w:r>
          </w:p>
        </w:tc>
        <w:tc>
          <w:tcPr>
            <w:tcW w:w="1440" w:type="dxa"/>
          </w:tcPr>
          <w:p w:rsidR="00DC6E53" w:rsidRPr="003312A3" w:rsidRDefault="00DC6E53" w:rsidP="00DC6E53">
            <w:pPr>
              <w:rPr>
                <w:rFonts w:cs="Times New Roman"/>
                <w:sz w:val="24"/>
                <w:szCs w:val="24"/>
              </w:rPr>
            </w:pPr>
            <w:r w:rsidRPr="003312A3">
              <w:rPr>
                <w:rFonts w:cs="Times New Roman"/>
                <w:sz w:val="24"/>
                <w:szCs w:val="24"/>
              </w:rPr>
              <w:t>200Ha</w:t>
            </w:r>
          </w:p>
        </w:tc>
        <w:tc>
          <w:tcPr>
            <w:tcW w:w="990" w:type="dxa"/>
          </w:tcPr>
          <w:p w:rsidR="00DC6E53" w:rsidRPr="003312A3" w:rsidRDefault="00DC6E53" w:rsidP="00DC6E53">
            <w:pPr>
              <w:rPr>
                <w:rFonts w:cs="Times New Roman"/>
                <w:sz w:val="24"/>
                <w:szCs w:val="24"/>
              </w:rPr>
            </w:pPr>
            <w:r w:rsidRPr="003312A3">
              <w:rPr>
                <w:rFonts w:cs="Times New Roman"/>
                <w:sz w:val="24"/>
                <w:szCs w:val="24"/>
              </w:rPr>
              <w:t>210Ha</w:t>
            </w:r>
          </w:p>
        </w:tc>
      </w:tr>
      <w:tr w:rsidR="00DC6E53" w:rsidRPr="003312A3" w:rsidTr="00DC6E53">
        <w:tc>
          <w:tcPr>
            <w:tcW w:w="1998" w:type="dxa"/>
          </w:tcPr>
          <w:p w:rsidR="00DC6E53" w:rsidRPr="003312A3" w:rsidRDefault="00DC6E53" w:rsidP="00DC6E53">
            <w:pPr>
              <w:rPr>
                <w:rFonts w:cs="Times New Roman"/>
                <w:sz w:val="24"/>
                <w:szCs w:val="24"/>
              </w:rPr>
            </w:pPr>
            <w:r w:rsidRPr="003312A3">
              <w:rPr>
                <w:rFonts w:cs="Times New Roman"/>
                <w:sz w:val="24"/>
                <w:szCs w:val="24"/>
              </w:rPr>
              <w:t>Sipërfaqa e ullishteve në territorin e Bashkisë Roskovec</w:t>
            </w:r>
          </w:p>
        </w:tc>
        <w:tc>
          <w:tcPr>
            <w:tcW w:w="1530" w:type="dxa"/>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1525.87ha</w:t>
            </w:r>
          </w:p>
        </w:tc>
        <w:tc>
          <w:tcPr>
            <w:tcW w:w="1440" w:type="dxa"/>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1614.07ha</w:t>
            </w:r>
          </w:p>
        </w:tc>
        <w:tc>
          <w:tcPr>
            <w:tcW w:w="1260" w:type="dxa"/>
            <w:vAlign w:val="bottom"/>
          </w:tcPr>
          <w:p w:rsidR="00DC6E53" w:rsidRPr="003312A3" w:rsidRDefault="00DC6E53" w:rsidP="00DC6E53">
            <w:pPr>
              <w:rPr>
                <w:rFonts w:cs="Times New Roman"/>
                <w:color w:val="000000"/>
                <w:sz w:val="24"/>
                <w:szCs w:val="24"/>
              </w:rPr>
            </w:pPr>
            <w:r w:rsidRPr="003312A3">
              <w:rPr>
                <w:rFonts w:cs="Times New Roman"/>
                <w:color w:val="000000"/>
                <w:sz w:val="24"/>
                <w:szCs w:val="24"/>
              </w:rPr>
              <w:t>1693.5HA</w:t>
            </w:r>
          </w:p>
        </w:tc>
        <w:tc>
          <w:tcPr>
            <w:tcW w:w="1440" w:type="dxa"/>
            <w:vAlign w:val="bottom"/>
          </w:tcPr>
          <w:p w:rsidR="00DC6E53" w:rsidRPr="003312A3" w:rsidRDefault="00DC6E53" w:rsidP="00DC6E53">
            <w:pPr>
              <w:rPr>
                <w:rFonts w:cs="Times New Roman"/>
                <w:color w:val="000000"/>
                <w:sz w:val="24"/>
                <w:szCs w:val="24"/>
              </w:rPr>
            </w:pPr>
            <w:r w:rsidRPr="003312A3">
              <w:rPr>
                <w:rFonts w:cs="Times New Roman"/>
                <w:color w:val="000000"/>
                <w:sz w:val="24"/>
                <w:szCs w:val="24"/>
              </w:rPr>
              <w:t>1714.1HA</w:t>
            </w:r>
          </w:p>
        </w:tc>
        <w:tc>
          <w:tcPr>
            <w:tcW w:w="1440" w:type="dxa"/>
          </w:tcPr>
          <w:p w:rsidR="00DC6E53" w:rsidRPr="003312A3" w:rsidRDefault="00DC6E53" w:rsidP="00DC6E53">
            <w:pPr>
              <w:jc w:val="center"/>
              <w:rPr>
                <w:rFonts w:cs="Times New Roman"/>
                <w:sz w:val="24"/>
                <w:szCs w:val="24"/>
              </w:rPr>
            </w:pPr>
            <w:r w:rsidRPr="003312A3">
              <w:rPr>
                <w:rFonts w:cs="Times New Roman"/>
                <w:sz w:val="24"/>
                <w:szCs w:val="24"/>
              </w:rPr>
              <w:t>1730 Ha</w:t>
            </w:r>
          </w:p>
        </w:tc>
        <w:tc>
          <w:tcPr>
            <w:tcW w:w="990" w:type="dxa"/>
          </w:tcPr>
          <w:p w:rsidR="00DC6E53" w:rsidRPr="003312A3" w:rsidRDefault="00DC6E53" w:rsidP="00DC6E53">
            <w:pPr>
              <w:jc w:val="center"/>
              <w:rPr>
                <w:rFonts w:cs="Times New Roman"/>
                <w:sz w:val="24"/>
                <w:szCs w:val="24"/>
              </w:rPr>
            </w:pPr>
            <w:r w:rsidRPr="003312A3">
              <w:rPr>
                <w:rFonts w:cs="Times New Roman"/>
                <w:sz w:val="24"/>
                <w:szCs w:val="24"/>
              </w:rPr>
              <w:t>1750 Ha</w:t>
            </w:r>
          </w:p>
        </w:tc>
      </w:tr>
      <w:tr w:rsidR="00DC6E53" w:rsidRPr="003312A3" w:rsidTr="00DC6E53">
        <w:trPr>
          <w:trHeight w:val="150"/>
        </w:trPr>
        <w:tc>
          <w:tcPr>
            <w:tcW w:w="1998"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Numri i rrënjëve të ullinjve </w:t>
            </w:r>
          </w:p>
        </w:tc>
        <w:tc>
          <w:tcPr>
            <w:tcW w:w="1530" w:type="dxa"/>
            <w:tcBorders>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343115</w:t>
            </w:r>
            <w:r>
              <w:rPr>
                <w:rFonts w:cs="Times New Roman"/>
                <w:color w:val="222222"/>
                <w:sz w:val="24"/>
                <w:szCs w:val="24"/>
              </w:rPr>
              <w:t xml:space="preserve"> rrë</w:t>
            </w:r>
            <w:r w:rsidRPr="003312A3">
              <w:rPr>
                <w:rFonts w:cs="Times New Roman"/>
                <w:color w:val="222222"/>
                <w:sz w:val="24"/>
                <w:szCs w:val="24"/>
              </w:rPr>
              <w:t>nj</w:t>
            </w:r>
            <w:r>
              <w:rPr>
                <w:rFonts w:cs="Times New Roman"/>
                <w:color w:val="222222"/>
                <w:sz w:val="24"/>
                <w:szCs w:val="24"/>
              </w:rPr>
              <w:t>ë</w:t>
            </w:r>
          </w:p>
        </w:tc>
        <w:tc>
          <w:tcPr>
            <w:tcW w:w="1440" w:type="dxa"/>
            <w:tcBorders>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345415</w:t>
            </w:r>
            <w:r>
              <w:rPr>
                <w:rFonts w:cs="Times New Roman"/>
                <w:color w:val="222222"/>
                <w:sz w:val="24"/>
                <w:szCs w:val="24"/>
              </w:rPr>
              <w:t xml:space="preserve"> </w:t>
            </w:r>
            <w:r w:rsidRPr="003312A3">
              <w:rPr>
                <w:rFonts w:cs="Times New Roman"/>
                <w:color w:val="222222"/>
                <w:sz w:val="24"/>
                <w:szCs w:val="24"/>
              </w:rPr>
              <w:t>rrenj</w:t>
            </w:r>
            <w:r>
              <w:rPr>
                <w:rFonts w:cs="Times New Roman"/>
                <w:color w:val="222222"/>
                <w:sz w:val="24"/>
                <w:szCs w:val="24"/>
              </w:rPr>
              <w:t>ë</w:t>
            </w:r>
          </w:p>
        </w:tc>
        <w:tc>
          <w:tcPr>
            <w:tcW w:w="1260" w:type="dxa"/>
            <w:tcBorders>
              <w:bottom w:val="single" w:sz="4" w:space="0" w:color="auto"/>
            </w:tcBorders>
            <w:vAlign w:val="bottom"/>
          </w:tcPr>
          <w:p w:rsidR="00DC6E53" w:rsidRPr="003312A3" w:rsidRDefault="00DC6E53" w:rsidP="00DC6E53">
            <w:pPr>
              <w:rPr>
                <w:rFonts w:cs="Times New Roman"/>
                <w:color w:val="222222"/>
                <w:sz w:val="24"/>
                <w:szCs w:val="24"/>
              </w:rPr>
            </w:pPr>
            <w:r>
              <w:rPr>
                <w:rFonts w:cs="Times New Roman"/>
                <w:color w:val="000000"/>
                <w:sz w:val="24"/>
                <w:szCs w:val="24"/>
              </w:rPr>
              <w:t>348115 r</w:t>
            </w:r>
            <w:r w:rsidRPr="003312A3">
              <w:rPr>
                <w:rFonts w:cs="Times New Roman"/>
                <w:color w:val="000000"/>
                <w:sz w:val="24"/>
                <w:szCs w:val="24"/>
              </w:rPr>
              <w:t>rënj</w:t>
            </w:r>
            <w:r>
              <w:rPr>
                <w:rFonts w:cs="Times New Roman"/>
                <w:color w:val="000000"/>
                <w:sz w:val="24"/>
                <w:szCs w:val="24"/>
              </w:rPr>
              <w:t>ë</w:t>
            </w:r>
          </w:p>
        </w:tc>
        <w:tc>
          <w:tcPr>
            <w:tcW w:w="1440" w:type="dxa"/>
            <w:tcBorders>
              <w:bottom w:val="single" w:sz="4" w:space="0" w:color="auto"/>
            </w:tcBorders>
            <w:vAlign w:val="bottom"/>
          </w:tcPr>
          <w:p w:rsidR="00DC6E53" w:rsidRPr="003312A3" w:rsidRDefault="00DC6E53" w:rsidP="00DC6E53">
            <w:pPr>
              <w:rPr>
                <w:rFonts w:cs="Times New Roman"/>
                <w:color w:val="000000"/>
                <w:sz w:val="24"/>
                <w:szCs w:val="24"/>
              </w:rPr>
            </w:pPr>
            <w:r>
              <w:rPr>
                <w:rFonts w:cs="Times New Roman"/>
                <w:color w:val="000000"/>
                <w:sz w:val="24"/>
                <w:szCs w:val="24"/>
              </w:rPr>
              <w:t>384200 r</w:t>
            </w:r>
            <w:r w:rsidRPr="003312A3">
              <w:rPr>
                <w:rFonts w:cs="Times New Roman"/>
                <w:color w:val="000000"/>
                <w:sz w:val="24"/>
                <w:szCs w:val="24"/>
              </w:rPr>
              <w:t>rënj</w:t>
            </w:r>
            <w:r>
              <w:rPr>
                <w:rFonts w:cs="Times New Roman"/>
                <w:color w:val="000000"/>
                <w:sz w:val="24"/>
                <w:szCs w:val="24"/>
              </w:rPr>
              <w:t>ë</w:t>
            </w:r>
          </w:p>
        </w:tc>
        <w:tc>
          <w:tcPr>
            <w:tcW w:w="1440" w:type="dxa"/>
            <w:tcBorders>
              <w:bottom w:val="single" w:sz="4" w:space="0" w:color="auto"/>
            </w:tcBorders>
            <w:vAlign w:val="bottom"/>
          </w:tcPr>
          <w:p w:rsidR="00DC6E53" w:rsidRPr="003312A3" w:rsidRDefault="00DC6E53" w:rsidP="00DC6E53">
            <w:pPr>
              <w:rPr>
                <w:rFonts w:cs="Times New Roman"/>
                <w:color w:val="000000"/>
                <w:sz w:val="24"/>
                <w:szCs w:val="24"/>
              </w:rPr>
            </w:pPr>
            <w:r w:rsidRPr="003312A3">
              <w:rPr>
                <w:rFonts w:cs="Times New Roman"/>
                <w:color w:val="000000"/>
                <w:sz w:val="24"/>
                <w:szCs w:val="24"/>
              </w:rPr>
              <w:t>397900</w:t>
            </w:r>
            <w:r>
              <w:rPr>
                <w:rFonts w:cs="Times New Roman"/>
                <w:color w:val="000000"/>
                <w:sz w:val="24"/>
                <w:szCs w:val="24"/>
              </w:rPr>
              <w:t xml:space="preserve">  r</w:t>
            </w:r>
            <w:r w:rsidRPr="003312A3">
              <w:rPr>
                <w:rFonts w:cs="Times New Roman"/>
                <w:color w:val="000000"/>
                <w:sz w:val="24"/>
                <w:szCs w:val="24"/>
              </w:rPr>
              <w:t>rënj</w:t>
            </w:r>
            <w:r>
              <w:rPr>
                <w:rFonts w:cs="Times New Roman"/>
                <w:color w:val="000000"/>
                <w:sz w:val="24"/>
                <w:szCs w:val="24"/>
              </w:rPr>
              <w:t>ë</w:t>
            </w:r>
          </w:p>
        </w:tc>
        <w:tc>
          <w:tcPr>
            <w:tcW w:w="990" w:type="dxa"/>
            <w:tcBorders>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402500</w:t>
            </w:r>
            <w:r>
              <w:rPr>
                <w:rFonts w:cs="Times New Roman"/>
                <w:sz w:val="24"/>
                <w:szCs w:val="24"/>
              </w:rPr>
              <w:t xml:space="preserve"> </w:t>
            </w:r>
            <w:r>
              <w:rPr>
                <w:rFonts w:cs="Times New Roman"/>
                <w:color w:val="000000"/>
                <w:sz w:val="24"/>
                <w:szCs w:val="24"/>
              </w:rPr>
              <w:t xml:space="preserve"> r</w:t>
            </w:r>
            <w:r w:rsidRPr="003312A3">
              <w:rPr>
                <w:rFonts w:cs="Times New Roman"/>
                <w:color w:val="000000"/>
                <w:sz w:val="24"/>
                <w:szCs w:val="24"/>
              </w:rPr>
              <w:t>rënj</w:t>
            </w:r>
            <w:r>
              <w:rPr>
                <w:rFonts w:cs="Times New Roman"/>
                <w:color w:val="000000"/>
                <w:sz w:val="24"/>
                <w:szCs w:val="24"/>
              </w:rPr>
              <w:t>ë</w:t>
            </w:r>
          </w:p>
        </w:tc>
      </w:tr>
      <w:tr w:rsidR="00DC6E53" w:rsidRPr="003312A3" w:rsidTr="00DC6E53">
        <w:trPr>
          <w:trHeight w:val="135"/>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Sipërfaqa e pyjeve </w:t>
            </w:r>
          </w:p>
        </w:tc>
        <w:tc>
          <w:tcPr>
            <w:tcW w:w="1530" w:type="dxa"/>
            <w:tcBorders>
              <w:top w:val="single" w:sz="4" w:space="0" w:color="auto"/>
              <w:bottom w:val="single" w:sz="4" w:space="0" w:color="auto"/>
            </w:tcBorders>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p w:rsidR="00DC6E53" w:rsidRPr="003312A3" w:rsidRDefault="00DC6E53" w:rsidP="00DC6E53">
            <w:pPr>
              <w:rPr>
                <w:rFonts w:cs="Times New Roman"/>
                <w:sz w:val="24"/>
                <w:szCs w:val="24"/>
              </w:rPr>
            </w:pPr>
          </w:p>
        </w:tc>
        <w:tc>
          <w:tcPr>
            <w:tcW w:w="1440" w:type="dxa"/>
            <w:tcBorders>
              <w:top w:val="single" w:sz="4" w:space="0" w:color="auto"/>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tc>
        <w:tc>
          <w:tcPr>
            <w:tcW w:w="1260" w:type="dxa"/>
            <w:tcBorders>
              <w:top w:val="single" w:sz="4" w:space="0" w:color="auto"/>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tc>
        <w:tc>
          <w:tcPr>
            <w:tcW w:w="1440" w:type="dxa"/>
            <w:tcBorders>
              <w:top w:val="single" w:sz="4" w:space="0" w:color="auto"/>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tc>
        <w:tc>
          <w:tcPr>
            <w:tcW w:w="1440" w:type="dxa"/>
            <w:tcBorders>
              <w:top w:val="single" w:sz="4" w:space="0" w:color="auto"/>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tc>
        <w:tc>
          <w:tcPr>
            <w:tcW w:w="990" w:type="dxa"/>
            <w:tcBorders>
              <w:top w:val="single" w:sz="4" w:space="0" w:color="auto"/>
              <w:bottom w:val="single" w:sz="4" w:space="0" w:color="auto"/>
            </w:tcBorders>
            <w:vAlign w:val="bottom"/>
          </w:tcPr>
          <w:p w:rsidR="00DC6E53" w:rsidRPr="003312A3" w:rsidRDefault="00DC6E53" w:rsidP="00DC6E53">
            <w:pPr>
              <w:rPr>
                <w:rFonts w:cs="Times New Roman"/>
                <w:color w:val="222222"/>
                <w:sz w:val="24"/>
                <w:szCs w:val="24"/>
              </w:rPr>
            </w:pPr>
            <w:r w:rsidRPr="003312A3">
              <w:rPr>
                <w:rFonts w:cs="Times New Roman"/>
                <w:color w:val="222222"/>
                <w:sz w:val="24"/>
                <w:szCs w:val="24"/>
              </w:rPr>
              <w:t>208.21HA</w:t>
            </w:r>
          </w:p>
        </w:tc>
      </w:tr>
      <w:tr w:rsidR="00DC6E53" w:rsidRPr="003312A3" w:rsidTr="00DC6E53">
        <w:trPr>
          <w:trHeight w:val="120"/>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Numri i pikave të grumbullimit </w:t>
            </w:r>
          </w:p>
        </w:tc>
        <w:tc>
          <w:tcPr>
            <w:tcW w:w="153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20</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20</w:t>
            </w:r>
          </w:p>
        </w:tc>
        <w:tc>
          <w:tcPr>
            <w:tcW w:w="126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31</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20</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9</w:t>
            </w:r>
          </w:p>
        </w:tc>
        <w:tc>
          <w:tcPr>
            <w:tcW w:w="99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11</w:t>
            </w:r>
          </w:p>
        </w:tc>
      </w:tr>
      <w:tr w:rsidR="00DC6E53" w:rsidRPr="003312A3" w:rsidTr="00DC6E53">
        <w:trPr>
          <w:trHeight w:val="105"/>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lastRenderedPageBreak/>
              <w:t xml:space="preserve">Numri i prodhusve të fidanishteve </w:t>
            </w:r>
          </w:p>
        </w:tc>
        <w:tc>
          <w:tcPr>
            <w:tcW w:w="153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3</w:t>
            </w:r>
          </w:p>
        </w:tc>
        <w:tc>
          <w:tcPr>
            <w:tcW w:w="126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3</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w:t>
            </w:r>
          </w:p>
        </w:tc>
        <w:tc>
          <w:tcPr>
            <w:tcW w:w="99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3</w:t>
            </w:r>
          </w:p>
        </w:tc>
      </w:tr>
      <w:tr w:rsidR="00DC6E53" w:rsidRPr="003312A3" w:rsidTr="00DC6E53">
        <w:trPr>
          <w:trHeight w:val="150"/>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 xml:space="preserve">Numri i fabrikave të vajit </w:t>
            </w:r>
          </w:p>
        </w:tc>
        <w:tc>
          <w:tcPr>
            <w:tcW w:w="153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6</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w:t>
            </w:r>
          </w:p>
        </w:tc>
        <w:tc>
          <w:tcPr>
            <w:tcW w:w="126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10</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10</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8</w:t>
            </w:r>
          </w:p>
        </w:tc>
        <w:tc>
          <w:tcPr>
            <w:tcW w:w="99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10</w:t>
            </w:r>
          </w:p>
        </w:tc>
      </w:tr>
      <w:tr w:rsidR="00DC6E53" w:rsidRPr="003312A3" w:rsidTr="00DC6E53">
        <w:trPr>
          <w:trHeight w:val="1380"/>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Pr>
                <w:rFonts w:cs="Times New Roman"/>
                <w:sz w:val="24"/>
                <w:szCs w:val="24"/>
              </w:rPr>
              <w:t>S</w:t>
            </w:r>
            <w:r w:rsidRPr="003312A3">
              <w:rPr>
                <w:rFonts w:cs="Times New Roman"/>
                <w:sz w:val="24"/>
                <w:szCs w:val="24"/>
              </w:rPr>
              <w:t>iperfaqa e tokës arë e kultivuar me kultura të ndryshme  bujqësisë</w:t>
            </w:r>
          </w:p>
        </w:tc>
        <w:tc>
          <w:tcPr>
            <w:tcW w:w="153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7441 ha</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7350.13 ha</w:t>
            </w:r>
          </w:p>
        </w:tc>
        <w:tc>
          <w:tcPr>
            <w:tcW w:w="126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7266 ha</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7242 ha</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7188 ha</w:t>
            </w:r>
          </w:p>
        </w:tc>
        <w:tc>
          <w:tcPr>
            <w:tcW w:w="99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7158 ha</w:t>
            </w:r>
          </w:p>
        </w:tc>
      </w:tr>
      <w:tr w:rsidR="00DC6E53" w:rsidRPr="003312A3" w:rsidTr="00DC6E53">
        <w:trPr>
          <w:trHeight w:val="128"/>
        </w:trPr>
        <w:tc>
          <w:tcPr>
            <w:tcW w:w="1998" w:type="dxa"/>
            <w:tcBorders>
              <w:top w:val="single" w:sz="4" w:space="0" w:color="auto"/>
              <w:bottom w:val="single" w:sz="4" w:space="0" w:color="auto"/>
            </w:tcBorders>
          </w:tcPr>
          <w:p w:rsidR="00DC6E53" w:rsidRPr="003312A3" w:rsidRDefault="00DC6E53" w:rsidP="00DC6E53">
            <w:pPr>
              <w:rPr>
                <w:rFonts w:cs="Times New Roman"/>
                <w:sz w:val="24"/>
                <w:szCs w:val="24"/>
              </w:rPr>
            </w:pPr>
            <w:r>
              <w:rPr>
                <w:rFonts w:cs="Times New Roman"/>
                <w:sz w:val="24"/>
                <w:szCs w:val="24"/>
              </w:rPr>
              <w:t>Inspektime ne ferma bujqë</w:t>
            </w:r>
            <w:r w:rsidRPr="003312A3">
              <w:rPr>
                <w:rFonts w:cs="Times New Roman"/>
                <w:sz w:val="24"/>
                <w:szCs w:val="24"/>
              </w:rPr>
              <w:t>sore dhe blegtorale</w:t>
            </w:r>
          </w:p>
        </w:tc>
        <w:tc>
          <w:tcPr>
            <w:tcW w:w="153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85</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97</w:t>
            </w:r>
          </w:p>
        </w:tc>
        <w:tc>
          <w:tcPr>
            <w:tcW w:w="126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120</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145</w:t>
            </w:r>
          </w:p>
        </w:tc>
        <w:tc>
          <w:tcPr>
            <w:tcW w:w="144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190</w:t>
            </w:r>
          </w:p>
        </w:tc>
        <w:tc>
          <w:tcPr>
            <w:tcW w:w="990" w:type="dxa"/>
            <w:tcBorders>
              <w:top w:val="single" w:sz="4" w:space="0" w:color="auto"/>
              <w:bottom w:val="single" w:sz="4" w:space="0" w:color="auto"/>
            </w:tcBorders>
          </w:tcPr>
          <w:p w:rsidR="00DC6E53" w:rsidRPr="003312A3" w:rsidRDefault="00DC6E53" w:rsidP="00DC6E53">
            <w:pPr>
              <w:rPr>
                <w:rFonts w:cs="Times New Roman"/>
                <w:sz w:val="24"/>
                <w:szCs w:val="24"/>
              </w:rPr>
            </w:pPr>
            <w:r w:rsidRPr="003312A3">
              <w:rPr>
                <w:rFonts w:cs="Times New Roman"/>
                <w:sz w:val="24"/>
                <w:szCs w:val="24"/>
              </w:rPr>
              <w:t>200</w:t>
            </w:r>
          </w:p>
        </w:tc>
      </w:tr>
    </w:tbl>
    <w:p w:rsidR="00CF5C5E" w:rsidRDefault="00CF5C5E" w:rsidP="00BA3795">
      <w:pPr>
        <w:rPr>
          <w:rFonts w:cs="Times New Roman"/>
        </w:rPr>
      </w:pPr>
    </w:p>
    <w:p w:rsidR="00CF5C5E" w:rsidRPr="00CF5C5E" w:rsidRDefault="00CF5C5E" w:rsidP="00CF5C5E">
      <w:pPr>
        <w:rPr>
          <w:rFonts w:cs="Times New Roman"/>
        </w:rPr>
      </w:pPr>
    </w:p>
    <w:p w:rsidR="00CF5C5E" w:rsidRPr="00CF5C5E" w:rsidRDefault="00CF5C5E" w:rsidP="00CF5C5E">
      <w:pPr>
        <w:rPr>
          <w:rFonts w:cs="Times New Roman"/>
        </w:rPr>
      </w:pPr>
    </w:p>
    <w:p w:rsidR="00CF5C5E" w:rsidRPr="00CF5C5E" w:rsidRDefault="00CF5C5E" w:rsidP="00CF5C5E">
      <w:pPr>
        <w:rPr>
          <w:rFonts w:cs="Times New Roman"/>
        </w:rPr>
      </w:pPr>
    </w:p>
    <w:p w:rsidR="00CF5C5E" w:rsidRPr="00CF5C5E" w:rsidRDefault="00CF5C5E" w:rsidP="00CF5C5E">
      <w:pPr>
        <w:rPr>
          <w:rFonts w:cs="Times New Roman"/>
        </w:rPr>
      </w:pPr>
    </w:p>
    <w:p w:rsidR="00CF5C5E" w:rsidRPr="00CF5C5E" w:rsidRDefault="00CF5C5E" w:rsidP="00CF5C5E">
      <w:pPr>
        <w:rPr>
          <w:rFonts w:cs="Times New Roman"/>
        </w:rPr>
      </w:pPr>
    </w:p>
    <w:p w:rsidR="00CF5C5E" w:rsidRPr="00CF5C5E" w:rsidRDefault="00CF5C5E" w:rsidP="00CF5C5E">
      <w:pPr>
        <w:rPr>
          <w:rFonts w:cs="Times New Roman"/>
        </w:rPr>
      </w:pPr>
    </w:p>
    <w:p w:rsidR="00CF5C5E" w:rsidRDefault="00CF5C5E" w:rsidP="00CF5C5E">
      <w:pPr>
        <w:rPr>
          <w:rFonts w:cs="Times New Roman"/>
        </w:rPr>
      </w:pPr>
    </w:p>
    <w:p w:rsidR="00DC6E53" w:rsidRPr="00DC6E53" w:rsidRDefault="00DC6E53" w:rsidP="00DC6E53">
      <w:pPr>
        <w:spacing w:before="100" w:beforeAutospacing="1" w:after="100" w:afterAutospacing="1" w:line="240" w:lineRule="auto"/>
        <w:jc w:val="left"/>
        <w:rPr>
          <w:rFonts w:eastAsia="Times New Roman" w:cs="Times New Roman"/>
          <w:kern w:val="0"/>
          <w14:ligatures w14:val="none"/>
        </w:rPr>
      </w:pPr>
      <w:r w:rsidRPr="00DC6E53">
        <w:rPr>
          <w:rFonts w:eastAsia="Times New Roman" w:cs="Times New Roman"/>
          <w:kern w:val="0"/>
          <w14:ligatures w14:val="none"/>
        </w:rPr>
        <w:t>Përgjatë viteve të raportimit, këto të dhëna ofrojnë bazë për të kuptuar më qartë nivelin e performancës së arritur, si dhe për të bërë krahasimin ndër vite mbi ecurinë e treguesve në fushën përkatëse.</w:t>
      </w:r>
    </w:p>
    <w:p w:rsidR="00DC6E53" w:rsidRPr="00DC6E53" w:rsidRDefault="00DC6E53" w:rsidP="00DC6E53">
      <w:pPr>
        <w:spacing w:before="100" w:beforeAutospacing="1" w:after="100" w:afterAutospacing="1" w:line="240" w:lineRule="auto"/>
        <w:jc w:val="left"/>
        <w:rPr>
          <w:rFonts w:eastAsia="Times New Roman" w:cs="Times New Roman"/>
          <w:kern w:val="0"/>
          <w14:ligatures w14:val="none"/>
        </w:rPr>
      </w:pPr>
      <w:r w:rsidRPr="00DC6E53">
        <w:rPr>
          <w:rFonts w:eastAsia="Times New Roman" w:cs="Times New Roman"/>
          <w:kern w:val="0"/>
          <w14:ligatures w14:val="none"/>
        </w:rPr>
        <w:t>Shërbimet e bujqësisë përfshijnë shërbimet në fushën e bujqësisë dhe blegtorisë. Gjithashtu, ato përfshijnë administrimin dhe mbrojtjen e tokave bujqësore dhe të resurseve të tjera natyrore, organizimin dhe mbështetjen e shërbimeve për blegtorinë, si dhe krijimin dhe administrimin e skemave vendore të granteve për bujqësinë dhe zhvillimin rural. Ky funksion financohet pjesërisht nga fondet e pushtetit qendror për detyrimet e deleguara që lidhen me administrimin dhe mbrojtjen e tokës.</w:t>
      </w:r>
    </w:p>
    <w:p w:rsidR="00EF701A" w:rsidRPr="00CF5C5E" w:rsidRDefault="00EF701A" w:rsidP="00CF5C5E">
      <w:pPr>
        <w:rPr>
          <w:rFonts w:cs="Times New Roman"/>
        </w:rPr>
        <w:sectPr w:rsidR="00EF701A" w:rsidRPr="00CF5C5E" w:rsidSect="00BA3795">
          <w:pgSz w:w="15840" w:h="12240" w:orient="landscape"/>
          <w:pgMar w:top="1440" w:right="1440" w:bottom="1440" w:left="1440" w:header="720" w:footer="720" w:gutter="0"/>
          <w:cols w:space="720"/>
          <w:docGrid w:linePitch="360"/>
        </w:sectPr>
      </w:pPr>
    </w:p>
    <w:p w:rsidR="00EF701A" w:rsidRDefault="00BA3795" w:rsidP="00C06E6F">
      <w:pPr>
        <w:pStyle w:val="sherbimiemristyle"/>
        <w:jc w:val="left"/>
      </w:pPr>
      <w:bookmarkStart w:id="45" w:name="_Toc210053361"/>
      <w:r>
        <w:lastRenderedPageBreak/>
        <w:t>Shërbimet e kujdesit parësor</w:t>
      </w:r>
      <w:bookmarkEnd w:id="45"/>
    </w:p>
    <w:p w:rsidR="00EF701A" w:rsidRDefault="00EF701A">
      <w:pPr>
        <w:rPr>
          <w:color w:val="0A2F41" w:themeColor="accent1" w:themeShade="80"/>
        </w:rPr>
      </w:pPr>
    </w:p>
    <w:p w:rsidR="00EF701A" w:rsidRDefault="00BA3795" w:rsidP="00BA3795">
      <w:pPr>
        <w:pStyle w:val="paragraphstyle"/>
      </w:pPr>
      <w:r>
        <w:t>Ndërtim, rehabilitim dhe mirëmbajtje e ndërtesave të shërbimit parësor shëndetësor dhe zhvillimin e aktiviteteve edukuese e promovuese në nivel vendor, të cilat lidhen me mbrojtjen e shëndetit, si dhe administrimin e qendrave e të shërbimeve të tjera në fushën e shëndetit publik, sipas mënyrës së përcaktuar me ligj.</w:t>
      </w:r>
    </w:p>
    <w:p w:rsidR="00EF701A" w:rsidRDefault="00EF701A" w:rsidP="00BA3795">
      <w:pPr>
        <w:pStyle w:val="paragraphstyle"/>
      </w:pPr>
    </w:p>
    <w:p w:rsidR="00EF701A" w:rsidRDefault="00BA3795" w:rsidP="00BA3795">
      <w:pPr>
        <w:pStyle w:val="paragraphstyle"/>
        <w:sectPr w:rsidR="00EF701A" w:rsidSect="00BA3795">
          <w:headerReference w:type="even" r:id="rId147"/>
          <w:footerReference w:type="even" r:id="rId148"/>
          <w:footerReference w:type="default" r:id="rId149"/>
          <w:headerReference w:type="first" r:id="rId150"/>
          <w:footerReference w:type="first" r:id="rId151"/>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708416" behindDoc="0" locked="0" layoutInCell="1" allowOverlap="1" wp14:anchorId="4EF8B65C" wp14:editId="3678CB4D">
                <wp:simplePos x="0" y="0"/>
                <wp:positionH relativeFrom="margin">
                  <wp:align>right</wp:align>
                </wp:positionH>
                <wp:positionV relativeFrom="paragraph">
                  <wp:posOffset>445135</wp:posOffset>
                </wp:positionV>
                <wp:extent cx="5925185" cy="3346450"/>
                <wp:effectExtent l="0" t="0" r="0" b="6350"/>
                <wp:wrapSquare wrapText="bothSides"/>
                <wp:docPr id="1399225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086D4B94" wp14:editId="63F91E97">
                                  <wp:extent cx="5730000" cy="3260000"/>
                                  <wp:effectExtent l="0" t="0" r="0" b="0"/>
                                  <wp:docPr id="476250830" name="Picture 47625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2"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8B65C" id="_x0000_s1044" type="#_x0000_t202" style="position:absolute;left:0;text-align:left;margin-left:415.35pt;margin-top:35.05pt;width:466.55pt;height:263.5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" filled="f" stroked="f">
                <v:textbox>
                  <w:txbxContent>
                    <w:p w:rsidR="00A8516B" w:rsidRDefault="00A8516B" w:rsidP="00BA3795">
                      <w:r>
                        <w:rPr>
                          <w:noProof/>
                        </w:rPr>
                        <w:drawing>
                          <wp:inline distT="0" distB="0" distL="0" distR="0" wp14:anchorId="086D4B94" wp14:editId="63F91E97">
                            <wp:extent cx="5730000" cy="3260000"/>
                            <wp:effectExtent l="0" t="0" r="0" b="0"/>
                            <wp:docPr id="476250830" name="Picture 47625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2"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705"/>
        <w:gridCol w:w="5109"/>
        <w:gridCol w:w="876"/>
        <w:gridCol w:w="876"/>
        <w:gridCol w:w="876"/>
        <w:gridCol w:w="876"/>
        <w:gridCol w:w="876"/>
        <w:gridCol w:w="75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Rritja e mbulimit me kontroll mjekësor falas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Raporti në % i numrit të personave të shërbyer kundrejt numrit të popullësisë totale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121.07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129.14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128.51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137.69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143.81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148.4</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7537"/>
        <w:gridCol w:w="903"/>
        <w:gridCol w:w="902"/>
        <w:gridCol w:w="902"/>
        <w:gridCol w:w="902"/>
        <w:gridCol w:w="902"/>
        <w:gridCol w:w="902"/>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personave të shërbyer për shërbimin mjekësor parësor në vit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39120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42000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45000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47000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48500</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Default="00BA3795" w:rsidP="00C06E6F">
      <w:pPr>
        <w:pStyle w:val="sherbimiemristyle"/>
        <w:jc w:val="left"/>
      </w:pPr>
      <w:bookmarkStart w:id="46" w:name="_Toc210053362"/>
      <w:r>
        <w:lastRenderedPageBreak/>
        <w:t>Trashëgimia kulturore, eventet artistike dhe kulturore</w:t>
      </w:r>
      <w:bookmarkEnd w:id="46"/>
    </w:p>
    <w:p w:rsidR="00EF701A" w:rsidRDefault="00EF701A">
      <w:pPr>
        <w:rPr>
          <w:color w:val="0A2F41" w:themeColor="accent1" w:themeShade="80"/>
        </w:rPr>
      </w:pPr>
    </w:p>
    <w:p w:rsidR="00EF701A" w:rsidRDefault="00BA3795" w:rsidP="00BA3795">
      <w:pPr>
        <w:pStyle w:val="paragraphstyle"/>
      </w:pPr>
      <w:r>
        <w:t>Ky shërbim përfshin zhvillimin, mbrojtjen dhe promovimin e vlerave të trashëgimisë kulturore me interes vendor, si dhe administrimin e objekteve që lidhen me këto funksione. Ai mbështet vendet historike, kopshte zoologjike dhe botanike, bibliotekat dhe ambientet për lexim, duke kontribuar në edukimin e përgjithshëm qytetar.  Përfshihet gjithashtu mbështetja për muzeumet, galeritë e arteve, teatrot dhe sallat e ekspozitave, organizimi i ngjarjeve kulturore si koncerte, prodhime skenike, filma dhe shfaqje artistike, si dhe sigurimi, administrimi, mbikëqyrja dhe rregullimi i strukturave dhe shërbimeve kulturore. Shërbimi synon gjithashtu organizimin e aktiviteteve kulturore dhe promovimin e identitetit kombëtar dhe lokal.</w:t>
      </w:r>
    </w:p>
    <w:p w:rsidR="00EF701A" w:rsidRDefault="00EF701A" w:rsidP="00BA3795">
      <w:pPr>
        <w:pStyle w:val="paragraphstyle"/>
      </w:pPr>
    </w:p>
    <w:p w:rsidR="00EF701A" w:rsidRDefault="00BA3795" w:rsidP="00BA3795">
      <w:pPr>
        <w:pStyle w:val="paragraphstyle"/>
        <w:sectPr w:rsidR="00EF701A" w:rsidSect="00BA3795">
          <w:headerReference w:type="even" r:id="rId153"/>
          <w:footerReference w:type="even" r:id="rId154"/>
          <w:footerReference w:type="default" r:id="rId155"/>
          <w:headerReference w:type="first" r:id="rId156"/>
          <w:footerReference w:type="first" r:id="rId157"/>
          <w:pgSz w:w="12240" w:h="15840"/>
          <w:pgMar w:top="1440" w:right="1440" w:bottom="1440" w:left="1440" w:header="720" w:footer="720" w:gutter="0"/>
          <w:cols w:space="720"/>
          <w:docGrid w:linePitch="360"/>
        </w:sectPr>
      </w:pPr>
      <w:r w:rsidRPr="007F55F6">
        <w:rPr>
          <w:noProof/>
        </w:rPr>
        <mc:AlternateContent>
          <mc:Choice Requires="wps">
            <w:drawing>
              <wp:anchor distT="45720" distB="45720" distL="114300" distR="114300" simplePos="0" relativeHeight="251710464" behindDoc="0" locked="0" layoutInCell="1" allowOverlap="1" wp14:anchorId="531C27AE" wp14:editId="7A2B2ED3">
                <wp:simplePos x="0" y="0"/>
                <wp:positionH relativeFrom="margin">
                  <wp:align>right</wp:align>
                </wp:positionH>
                <wp:positionV relativeFrom="paragraph">
                  <wp:posOffset>445135</wp:posOffset>
                </wp:positionV>
                <wp:extent cx="5925185" cy="3346450"/>
                <wp:effectExtent l="0" t="0" r="0" b="6350"/>
                <wp:wrapSquare wrapText="bothSides"/>
                <wp:docPr id="329184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4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A8516B" w:rsidRDefault="00A8516B" w:rsidP="00BA3795">
                            <w:r>
                              <w:rPr>
                                <w:noProof/>
                              </w:rPr>
                              <w:drawing>
                                <wp:inline distT="0" distB="0" distL="0" distR="0" wp14:anchorId="67177F0A" wp14:editId="0B7189F6">
                                  <wp:extent cx="5730000" cy="3260000"/>
                                  <wp:effectExtent l="0" t="0" r="0" b="0"/>
                                  <wp:docPr id="1766521414" name="Picture 176652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8" cstate="print"/>
                                          <a:stretch>
                                            <a:fillRect/>
                                          </a:stretch>
                                        </pic:blipFill>
                                        <pic:spPr>
                                          <a:xfrm>
                                            <a:off x="0" y="0"/>
                                            <a:ext cx="5730000" cy="3260000"/>
                                          </a:xfrm>
                                          <a:prstGeom prst="borderCallout3">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C27AE" id="_x0000_s1045" type="#_x0000_t202" style="position:absolute;left:0;text-align:left;margin-left:415.35pt;margin-top:35.05pt;width:466.55pt;height:263.5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" filled="f" stroked="f">
                <v:textbox>
                  <w:txbxContent>
                    <w:p w:rsidR="00A8516B" w:rsidRDefault="00A8516B" w:rsidP="00BA3795">
                      <w:r>
                        <w:rPr>
                          <w:noProof/>
                        </w:rPr>
                        <w:drawing>
                          <wp:inline distT="0" distB="0" distL="0" distR="0" wp14:anchorId="67177F0A" wp14:editId="0B7189F6">
                            <wp:extent cx="5730000" cy="3260000"/>
                            <wp:effectExtent l="0" t="0" r="0" b="0"/>
                            <wp:docPr id="1766521414" name="Picture 176652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8" cstate="print"/>
                                    <a:stretch>
                                      <a:fillRect/>
                                    </a:stretch>
                                  </pic:blipFill>
                                  <pic:spPr>
                                    <a:xfrm>
                                      <a:off x="0" y="0"/>
                                      <a:ext cx="5730000" cy="3260000"/>
                                    </a:xfrm>
                                    <a:prstGeom prst="borderCallout3">
                                      <a:avLst/>
                                    </a:prstGeom>
                                  </pic:spPr>
                                </pic:pic>
                              </a:graphicData>
                            </a:graphic>
                          </wp:inline>
                        </w:drawing>
                      </w:r>
                    </w:p>
                  </w:txbxContent>
                </v:textbox>
                <w10:wrap type="square" anchorx="margin"/>
              </v:shape>
            </w:pict>
          </mc:Fallback>
        </mc:AlternateContent>
      </w:r>
    </w:p>
    <w:p w:rsidR="00EF701A" w:rsidRPr="00CA291B" w:rsidRDefault="00BA3795" w:rsidP="00BA3795">
      <w:pPr>
        <w:pStyle w:val="treguesistyle"/>
      </w:pPr>
      <w:r w:rsidRPr="00CA291B">
        <w:lastRenderedPageBreak/>
        <w:t>Treguesit e shërbimit</w:t>
      </w:r>
    </w:p>
    <w:p w:rsidR="00EF701A" w:rsidRPr="00F300AB" w:rsidRDefault="00BA3795" w:rsidP="00BA3795">
      <w:pPr>
        <w:rPr>
          <w:rFonts w:cs="Times New Roman"/>
        </w:rPr>
      </w:pPr>
      <w:r w:rsidRPr="00F300AB">
        <w:rPr>
          <w:rFonts w:cs="Times New Roman"/>
        </w:rPr>
        <w:t>Ky kapitull synon të ofrojë një pasqyrë të plotë mbi treguesit e performancës të lidhur me shërbimin. Treguesit janë përzgjedhur dhe zhvilluar përmes një procesi gjithëpërfshirës, duke angazhuar institucione qendrore, bashkinë, organizata partnere dhe ekspertë të fushës, me qëllim sigurimin e një qasjeje të balancuar dhe të krahasueshme.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355"/>
        <w:gridCol w:w="5419"/>
        <w:gridCol w:w="696"/>
        <w:gridCol w:w="696"/>
        <w:gridCol w:w="696"/>
        <w:gridCol w:w="696"/>
        <w:gridCol w:w="696"/>
        <w:gridCol w:w="6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Treguesi</w:t>
            </w:r>
          </w:p>
        </w:tc>
        <w:tc>
          <w:tcPr>
            <w:tcW w:w="0" w:type="auto"/>
            <w:shd w:val="clear" w:color="auto" w:fill="D9E1F2"/>
            <w:vAlign w:val="center"/>
          </w:tcPr>
          <w:p w:rsidR="00EF701A" w:rsidRDefault="00BA3795">
            <w:pPr>
              <w:spacing w:after="0" w:line="200" w:lineRule="auto"/>
            </w:pPr>
            <w:r>
              <w:rPr>
                <w:b/>
              </w:rPr>
              <w:t>Përshkrim</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Përmirësimi i aseteve të trashëgimisë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Pjesa në përqindje e aseteve kulturore të mirëmbajtura ndaj aseteve kulturore totale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r>
    </w:tbl>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CA291B" w:rsidRDefault="00BA3795" w:rsidP="00BA3795">
      <w:pPr>
        <w:pStyle w:val="tedhenastyle"/>
        <w:rPr>
          <w:color w:val="0A2F41" w:themeColor="accent1" w:themeShade="80"/>
        </w:rPr>
      </w:pPr>
      <w:r w:rsidRPr="00CA291B">
        <w:rPr>
          <w:color w:val="0A2F41" w:themeColor="accent1" w:themeShade="80"/>
        </w:rPr>
        <w:lastRenderedPageBreak/>
        <w:t>Të dhënat e shërbimit</w:t>
      </w:r>
    </w:p>
    <w:p w:rsidR="00EF701A" w:rsidRPr="00F300AB" w:rsidRDefault="00BA3795" w:rsidP="00BA3795">
      <w:pPr>
        <w:rPr>
          <w:rFonts w:cs="Times New Roman"/>
        </w:rPr>
      </w:pPr>
      <w:r w:rsidRPr="00F300AB">
        <w:rPr>
          <w:rFonts w:cs="Times New Roman"/>
        </w:rPr>
        <w:t>Tabela në vijim paraqet të dhënat përkatëse që lidhen me treguesin, duke shënuar vlerat e tij përgjatë viteve të raportimit. Këto të dhëna ofrojnë bazën për të kuptuar më qartë nivelin e performancës së arritur, si dhe për të bërë krahasime ndër vite mbi ecurinë e treguesit në fushën përkatëse.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8654"/>
        <w:gridCol w:w="696"/>
        <w:gridCol w:w="816"/>
        <w:gridCol w:w="696"/>
        <w:gridCol w:w="696"/>
        <w:gridCol w:w="696"/>
        <w:gridCol w:w="696"/>
      </w:tblGrid>
      <w:tr w:rsidR="00BA3795" w:rsidTr="00BA3795">
        <w:trPr>
          <w:trHeight w:val="449"/>
          <w:jc w:val="center"/>
        </w:trPr>
        <w:tc>
          <w:tcPr>
            <w:tcW w:w="0" w:type="auto"/>
            <w:shd w:val="clear" w:color="auto" w:fill="D9E1F2"/>
            <w:vAlign w:val="center"/>
          </w:tcPr>
          <w:p w:rsidR="00EF701A" w:rsidRPr="00F300AB" w:rsidRDefault="00BA3795" w:rsidP="00BA3795">
            <w:pPr>
              <w:spacing w:after="0" w:line="200" w:lineRule="auto"/>
            </w:pPr>
            <w:r>
              <w:rPr>
                <w:b/>
              </w:rPr>
              <w:t>E dhëna</w:t>
            </w:r>
          </w:p>
        </w:tc>
        <w:tc>
          <w:tcPr>
            <w:tcW w:w="0" w:type="auto"/>
            <w:shd w:val="clear" w:color="auto" w:fill="D9E1F2"/>
            <w:vAlign w:val="center"/>
          </w:tcPr>
          <w:p w:rsidR="00EF701A" w:rsidRDefault="00BA3795">
            <w:pPr>
              <w:spacing w:after="0" w:line="200" w:lineRule="auto"/>
            </w:pPr>
            <w:r>
              <w:rPr>
                <w:b/>
              </w:rPr>
              <w:t>2021</w:t>
            </w:r>
          </w:p>
        </w:tc>
        <w:tc>
          <w:tcPr>
            <w:tcW w:w="0" w:type="auto"/>
            <w:shd w:val="clear" w:color="auto" w:fill="D9E1F2"/>
            <w:vAlign w:val="center"/>
          </w:tcPr>
          <w:p w:rsidR="00EF701A" w:rsidRDefault="00BA3795">
            <w:pPr>
              <w:spacing w:after="0" w:line="200" w:lineRule="auto"/>
            </w:pPr>
            <w:r>
              <w:rPr>
                <w:b/>
              </w:rPr>
              <w:t>2022</w:t>
            </w:r>
          </w:p>
        </w:tc>
        <w:tc>
          <w:tcPr>
            <w:tcW w:w="0" w:type="auto"/>
            <w:shd w:val="clear" w:color="auto" w:fill="D9E1F2"/>
            <w:vAlign w:val="center"/>
          </w:tcPr>
          <w:p w:rsidR="00EF701A" w:rsidRDefault="00BA3795">
            <w:pPr>
              <w:spacing w:after="0" w:line="200" w:lineRule="auto"/>
            </w:pPr>
            <w:r>
              <w:rPr>
                <w:b/>
              </w:rPr>
              <w:t>2023</w:t>
            </w:r>
          </w:p>
        </w:tc>
        <w:tc>
          <w:tcPr>
            <w:tcW w:w="0" w:type="auto"/>
            <w:shd w:val="clear" w:color="auto" w:fill="D9E1F2"/>
            <w:vAlign w:val="center"/>
          </w:tcPr>
          <w:p w:rsidR="00EF701A" w:rsidRDefault="00BA3795">
            <w:pPr>
              <w:spacing w:after="0" w:line="200" w:lineRule="auto"/>
            </w:pPr>
            <w:r>
              <w:rPr>
                <w:b/>
              </w:rPr>
              <w:t>2024</w:t>
            </w:r>
          </w:p>
        </w:tc>
        <w:tc>
          <w:tcPr>
            <w:tcW w:w="0" w:type="auto"/>
            <w:shd w:val="clear" w:color="auto" w:fill="D9E1F2"/>
            <w:vAlign w:val="center"/>
          </w:tcPr>
          <w:p w:rsidR="00EF701A" w:rsidRDefault="00BA3795">
            <w:pPr>
              <w:spacing w:after="0" w:line="200" w:lineRule="auto"/>
            </w:pPr>
            <w:r>
              <w:rPr>
                <w:b/>
              </w:rPr>
              <w:t>2025</w:t>
            </w:r>
          </w:p>
        </w:tc>
        <w:tc>
          <w:tcPr>
            <w:tcW w:w="0" w:type="auto"/>
            <w:shd w:val="clear" w:color="auto" w:fill="D9E1F2"/>
            <w:vAlign w:val="center"/>
          </w:tcPr>
          <w:p w:rsidR="00EF701A" w:rsidRDefault="00BA3795">
            <w:pPr>
              <w:spacing w:after="0" w:line="200" w:lineRule="auto"/>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Asete të trashëgimisë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Ndërtesa funksionale për çështjet e kulturës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Bileta të shitura për evente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40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Institucione të trashëgimisë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lexuesve të rregullt në bibliotekë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162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vizitorëve në vit në objektet e trashëgimisë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biletave të shitura në vit për çdo objekt të trashëgimisë kulturore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Të ardhurat nga muzetë, teatrot, eventet kulturore, kopshtet zoologjike; botanike (ne mije leke)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60000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EF701A">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Numri i shfaqeve kulturore; evente artistike të mbështetura me fondet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Aktivitete për edukimin e brezit të ri</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52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25</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Asete të trashëgimisë kulturore në administrimin e bashkisë të mirëmbajtura në vit me fondet e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Panaire të organizuara nga bashkia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EF701A" w:rsidRDefault="00BA3795">
            <w:pPr>
              <w:spacing w:after="0" w:line="240" w:lineRule="auto"/>
            </w:pPr>
            <w:r>
              <w:t>3</w:t>
            </w:r>
          </w:p>
        </w:tc>
      </w:tr>
    </w:tbl>
    <w:p w:rsidR="00EF701A" w:rsidRPr="00F300AB" w:rsidRDefault="00EF701A" w:rsidP="00BA3795">
      <w:pPr>
        <w:rPr>
          <w:rFonts w:cs="Times New Roman"/>
        </w:rPr>
      </w:pPr>
    </w:p>
    <w:p w:rsidR="00EF701A" w:rsidRPr="00F300AB" w:rsidRDefault="00EF701A" w:rsidP="00BA3795">
      <w:pPr>
        <w:rPr>
          <w:rFonts w:cs="Times New Roman"/>
        </w:rPr>
        <w:sectPr w:rsidR="00EF701A" w:rsidRPr="00F300AB" w:rsidSect="00BA3795">
          <w:pgSz w:w="15840" w:h="12240" w:orient="landscape"/>
          <w:pgMar w:top="1440" w:right="1440" w:bottom="1440" w:left="1440" w:header="720" w:footer="720" w:gutter="0"/>
          <w:cols w:space="720"/>
          <w:docGrid w:linePitch="360"/>
        </w:sectPr>
      </w:pPr>
    </w:p>
    <w:p w:rsidR="00EF701A" w:rsidRPr="00F300AB" w:rsidRDefault="00BA3795" w:rsidP="00BA3795">
      <w:pPr>
        <w:rPr>
          <w:rFonts w:cs="Times New Roman"/>
        </w:rPr>
      </w:pPr>
      <w:r w:rsidRPr="00F300AB">
        <w:rPr>
          <w:rFonts w:cs="Times New Roman"/>
        </w:rPr>
        <w:lastRenderedPageBreak/>
        <w:t>Më poshtë paraqiten të dhënat e treguesit, të shoqëruara me grafikët përkatës.</w:t>
      </w:r>
    </w:p>
    <w:p w:rsidR="00EF701A" w:rsidRDefault="00EF701A"/>
    <w:p w:rsidR="00EF701A" w:rsidRDefault="00BA3795" w:rsidP="00C06E6F">
      <w:pPr>
        <w:pStyle w:val="dataNameStyle"/>
      </w:pPr>
      <w:r>
        <w:t>N</w:t>
      </w:r>
      <w:r w:rsidR="00533960">
        <w:t>umri i shfaqeve kulturore; evente artistike të mbështetura me fondet e bashkisë</w:t>
      </w:r>
    </w:p>
    <w:p w:rsidR="00C06E6F" w:rsidRPr="00C06E6F" w:rsidRDefault="00C06E6F" w:rsidP="00C06E6F">
      <w:pPr>
        <w:pStyle w:val="NormalWeb"/>
        <w:divId w:val="1774353116"/>
      </w:pPr>
      <w:r w:rsidRPr="00C06E6F">
        <w:t xml:space="preserve">Në bashkinë Roskovec, </w:t>
      </w:r>
      <w:r w:rsidRPr="00C06E6F">
        <w:rPr>
          <w:b/>
          <w:bCs/>
        </w:rPr>
        <w:t>numri i shfaqjeve kulturore dhe eventeve artistike të mbështetura me fondet e bashkisë</w:t>
      </w:r>
      <w:r w:rsidRPr="00C06E6F">
        <w:t xml:space="preserve"> ka treguar një qëndrueshmëri të përgjithshme gjatë viteve të fundit. Në vitin </w:t>
      </w:r>
      <w:r w:rsidRPr="00C06E6F">
        <w:rPr>
          <w:b/>
          <w:bCs/>
        </w:rPr>
        <w:t>2021</w:t>
      </w:r>
      <w:r w:rsidRPr="00C06E6F">
        <w:t xml:space="preserve">, u organizuan </w:t>
      </w:r>
      <w:r w:rsidRPr="00C06E6F">
        <w:rPr>
          <w:b/>
          <w:bCs/>
        </w:rPr>
        <w:t>6</w:t>
      </w:r>
      <w:r w:rsidRPr="00C06E6F">
        <w:t xml:space="preserve"> evente, ndërsa në </w:t>
      </w:r>
      <w:r w:rsidRPr="00C06E6F">
        <w:rPr>
          <w:b/>
          <w:bCs/>
        </w:rPr>
        <w:t>2022</w:t>
      </w:r>
      <w:r w:rsidRPr="00C06E6F">
        <w:t xml:space="preserve"> ky numër ra në </w:t>
      </w:r>
      <w:r w:rsidRPr="00C06E6F">
        <w:rPr>
          <w:b/>
          <w:bCs/>
        </w:rPr>
        <w:t>5</w:t>
      </w:r>
      <w:r w:rsidRPr="00C06E6F">
        <w:t xml:space="preserve">. Megjithatë, duke filluar nga viti </w:t>
      </w:r>
      <w:r w:rsidRPr="00C06E6F">
        <w:rPr>
          <w:b/>
          <w:bCs/>
        </w:rPr>
        <w:t>2023</w:t>
      </w:r>
      <w:r w:rsidRPr="00C06E6F">
        <w:t xml:space="preserve"> dhe në vijim, numri i tyre u stabilizua në </w:t>
      </w:r>
      <w:r w:rsidRPr="00C06E6F">
        <w:rPr>
          <w:b/>
          <w:bCs/>
        </w:rPr>
        <w:t>6</w:t>
      </w:r>
      <w:r w:rsidRPr="00C06E6F">
        <w:t xml:space="preserve"> evente për secilin vit: </w:t>
      </w:r>
      <w:r w:rsidRPr="00C06E6F">
        <w:rPr>
          <w:b/>
          <w:bCs/>
        </w:rPr>
        <w:t>2023</w:t>
      </w:r>
      <w:r w:rsidRPr="00C06E6F">
        <w:t xml:space="preserve">, </w:t>
      </w:r>
      <w:r w:rsidRPr="00C06E6F">
        <w:rPr>
          <w:b/>
          <w:bCs/>
        </w:rPr>
        <w:t>2024</w:t>
      </w:r>
      <w:r w:rsidRPr="00C06E6F">
        <w:t xml:space="preserve">, </w:t>
      </w:r>
      <w:r w:rsidRPr="00C06E6F">
        <w:rPr>
          <w:b/>
          <w:bCs/>
        </w:rPr>
        <w:t>2025</w:t>
      </w:r>
      <w:r w:rsidRPr="00C06E6F">
        <w:t xml:space="preserve">, dhe </w:t>
      </w:r>
      <w:r w:rsidRPr="00C06E6F">
        <w:rPr>
          <w:b/>
          <w:bCs/>
        </w:rPr>
        <w:t>2026</w:t>
      </w:r>
      <w:r w:rsidRPr="00C06E6F">
        <w:t xml:space="preserve">. Kjo tregon një investim të vazhdueshëm të bashkisë në mbështetjen e aktiviteteve kulturore dhe artistike. Rënia e lehtë në </w:t>
      </w:r>
      <w:r w:rsidRPr="00C06E6F">
        <w:rPr>
          <w:b/>
          <w:bCs/>
        </w:rPr>
        <w:t>2022</w:t>
      </w:r>
      <w:r w:rsidRPr="00C06E6F">
        <w:t xml:space="preserve"> mund të jetë rezultat i sfidave të papritura apo kufizimeve buxhetore. Për vitet e tjera, stabiliteti i numrit të eventeve sugjeron se bashkia ka arritur të mbajë një balancë të qëndrueshme financiare dhe organizative. Këto aktivitete jo vetëm që pasurojnë jetën kulturore të komunitetit, por gjithashtu ndihmojnë në nxitjen e turizmit lokal. Përkushtimi i bashkisë për të mbështetur këto evente tregon një përpjekje për të promovuar artin dhe kulturën në zonë. Ky përkushtim mbështet krijimin e një mjedisi të gjallë dhe të angazhuar në komunitet.</w:t>
      </w:r>
    </w:p>
    <w:p w:rsidR="00C06E6F" w:rsidRDefault="00C06E6F">
      <w:pPr>
        <w:pStyle w:val="NormalWeb"/>
        <w:divId w:val="1774353116"/>
      </w:pPr>
    </w:p>
    <w:p w:rsidR="00EF701A" w:rsidRDefault="00EF701A" w:rsidP="00BA3795"/>
    <w:p w:rsidR="00EF701A" w:rsidRDefault="00BA3795" w:rsidP="00BA3795">
      <w:r>
        <w:rPr>
          <w:noProof/>
        </w:rPr>
        <w:drawing>
          <wp:inline distT="0" distB="0" distL="0" distR="0" wp14:anchorId="65B05514" wp14:editId="38BCC6FE">
            <wp:extent cx="5486400" cy="3200400"/>
            <wp:effectExtent l="0" t="0" r="0" b="0"/>
            <wp:docPr id="1628610736" name="Chart 1628610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EF701A" w:rsidRDefault="00EF701A" w:rsidP="00BA3795"/>
    <w:p w:rsidR="00EF701A" w:rsidRDefault="00EF701A"/>
    <w:p w:rsidR="00EF701A" w:rsidRDefault="00BA3795" w:rsidP="00BA3795">
      <w:pPr>
        <w:pStyle w:val="dataNameStyle"/>
      </w:pPr>
      <w:r>
        <w:lastRenderedPageBreak/>
        <w:t>Aktivitete për edukimin e brezit të ri</w:t>
      </w:r>
    </w:p>
    <w:p w:rsidR="00C06E6F" w:rsidRPr="00C06E6F" w:rsidRDefault="00C06E6F" w:rsidP="00C06E6F">
      <w:pPr>
        <w:pStyle w:val="NormalWeb"/>
        <w:divId w:val="641737316"/>
      </w:pPr>
      <w:r w:rsidRPr="00C06E6F">
        <w:t xml:space="preserve">Të dhënat nga Bashkia Roskovec tregojnë një ndryshim në numrin e aktiviteteve për edukimin e brezit të ri gjatë viteve. Në </w:t>
      </w:r>
      <w:r w:rsidRPr="00C06E6F">
        <w:rPr>
          <w:b/>
          <w:bCs/>
        </w:rPr>
        <w:t>2021</w:t>
      </w:r>
      <w:r w:rsidRPr="00C06E6F">
        <w:t xml:space="preserve">, numri i aktiviteteve ishte më i larti, me </w:t>
      </w:r>
      <w:r w:rsidRPr="00C06E6F">
        <w:rPr>
          <w:b/>
          <w:bCs/>
        </w:rPr>
        <w:t>52</w:t>
      </w:r>
      <w:r w:rsidRPr="00C06E6F">
        <w:t xml:space="preserve"> aktivitete të realizuara. Ky numër bie në mënyrë të ndjeshme në </w:t>
      </w:r>
      <w:r w:rsidRPr="00C06E6F">
        <w:rPr>
          <w:b/>
          <w:bCs/>
        </w:rPr>
        <w:t>2022</w:t>
      </w:r>
      <w:r w:rsidRPr="00C06E6F">
        <w:t xml:space="preserve">, me vetëm </w:t>
      </w:r>
      <w:r w:rsidRPr="00C06E6F">
        <w:rPr>
          <w:b/>
          <w:bCs/>
        </w:rPr>
        <w:t>22</w:t>
      </w:r>
      <w:r w:rsidRPr="00C06E6F">
        <w:t xml:space="preserve"> aktivitete. Në </w:t>
      </w:r>
      <w:r w:rsidRPr="00C06E6F">
        <w:rPr>
          <w:b/>
          <w:bCs/>
        </w:rPr>
        <w:t>2023</w:t>
      </w:r>
      <w:r w:rsidRPr="00C06E6F">
        <w:t xml:space="preserve">, vihet re një ulje e mëtejshme, duke arritur në </w:t>
      </w:r>
      <w:r w:rsidRPr="00C06E6F">
        <w:rPr>
          <w:b/>
          <w:bCs/>
        </w:rPr>
        <w:t>20</w:t>
      </w:r>
      <w:r w:rsidRPr="00C06E6F">
        <w:t xml:space="preserve"> aktivitete. Për vitet e ardhshme, numri stabilizohet duke parashikuar </w:t>
      </w:r>
      <w:r w:rsidRPr="00C06E6F">
        <w:rPr>
          <w:b/>
          <w:bCs/>
        </w:rPr>
        <w:t>25</w:t>
      </w:r>
      <w:r w:rsidRPr="00C06E6F">
        <w:t xml:space="preserve"> aktivitete për secilin vit nga </w:t>
      </w:r>
      <w:r w:rsidRPr="00C06E6F">
        <w:rPr>
          <w:b/>
          <w:bCs/>
        </w:rPr>
        <w:t>2024</w:t>
      </w:r>
      <w:r w:rsidRPr="00C06E6F">
        <w:t xml:space="preserve"> deri në </w:t>
      </w:r>
      <w:r w:rsidRPr="00C06E6F">
        <w:rPr>
          <w:b/>
          <w:bCs/>
        </w:rPr>
        <w:t>2026</w:t>
      </w:r>
      <w:r w:rsidRPr="00C06E6F">
        <w:t xml:space="preserve">. Kjo sugjeron përpjekje për të mbajtur një nivel konstant aktivitetesh pas rënies në 2023. Përgjithësisht, pas pikut në </w:t>
      </w:r>
      <w:r w:rsidRPr="00C06E6F">
        <w:rPr>
          <w:b/>
          <w:bCs/>
        </w:rPr>
        <w:t>2021</w:t>
      </w:r>
      <w:r w:rsidRPr="00C06E6F">
        <w:t>, ka një përmirësim të qasjes për vitet e ardhshme. Kjo rënie dhe stabilizim mund të jetë pasojë e ndryshimeve në politikat bashkiake ose financime. Vlen të analizohet më tej për të kuptuar ndikimet në edukimin e brezit të ri. Duhet të shihet nëse kjo tendencë do të vazhdojë edhe në të ardhmen.</w:t>
      </w:r>
    </w:p>
    <w:p w:rsidR="00C06E6F" w:rsidRDefault="00C06E6F">
      <w:pPr>
        <w:pStyle w:val="NormalWeb"/>
        <w:divId w:val="641737316"/>
      </w:pPr>
    </w:p>
    <w:p w:rsidR="00EF701A" w:rsidRDefault="00EF701A" w:rsidP="00BA3795"/>
    <w:p w:rsidR="00EF701A" w:rsidRDefault="00BA3795" w:rsidP="00BA3795">
      <w:r>
        <w:rPr>
          <w:noProof/>
        </w:rPr>
        <w:drawing>
          <wp:inline distT="0" distB="0" distL="0" distR="0" wp14:anchorId="3D2AD93D" wp14:editId="2FDCC045">
            <wp:extent cx="5486400" cy="3200400"/>
            <wp:effectExtent l="0" t="0" r="0" b="0"/>
            <wp:docPr id="557157645" name="Chart 5571576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EF701A" w:rsidRDefault="00EF701A" w:rsidP="00BA3795"/>
    <w:p w:rsidR="00EF701A" w:rsidRDefault="00EF701A"/>
    <w:p w:rsidR="00533960" w:rsidRDefault="00533960"/>
    <w:p w:rsidR="00533960" w:rsidRDefault="00533960"/>
    <w:p w:rsidR="00EF701A" w:rsidRDefault="00BA3795" w:rsidP="00C06E6F">
      <w:pPr>
        <w:pStyle w:val="dataNameStyle"/>
      </w:pPr>
      <w:r>
        <w:lastRenderedPageBreak/>
        <w:t>P</w:t>
      </w:r>
      <w:r w:rsidR="00533960">
        <w:t>anaire të organizuara nga bashkia</w:t>
      </w:r>
    </w:p>
    <w:p w:rsidR="00C06E6F" w:rsidRPr="00C06E6F" w:rsidRDefault="00C06E6F" w:rsidP="00C06E6F">
      <w:pPr>
        <w:pStyle w:val="NormalWeb"/>
        <w:divId w:val="797794226"/>
      </w:pPr>
      <w:r w:rsidRPr="00C06E6F">
        <w:t xml:space="preserve">Bashkia Roskovec ka mbajtur një ritëm të qëndrueshëm në organizimin e panaireve ndër vite. Në vitin </w:t>
      </w:r>
      <w:r w:rsidRPr="00C06E6F">
        <w:rPr>
          <w:b/>
          <w:bCs/>
        </w:rPr>
        <w:t>2021</w:t>
      </w:r>
      <w:r w:rsidRPr="00C06E6F">
        <w:t xml:space="preserve">, u organizuan </w:t>
      </w:r>
      <w:r w:rsidRPr="00C06E6F">
        <w:rPr>
          <w:b/>
          <w:bCs/>
        </w:rPr>
        <w:t>3</w:t>
      </w:r>
      <w:r w:rsidRPr="00C06E6F">
        <w:t xml:space="preserve"> panaire. Ky numër mbeti konsistent edhe në vitet pasuese. Në </w:t>
      </w:r>
      <w:r w:rsidRPr="00C06E6F">
        <w:rPr>
          <w:b/>
          <w:bCs/>
        </w:rPr>
        <w:t>2022</w:t>
      </w:r>
      <w:r w:rsidRPr="00C06E6F">
        <w:t xml:space="preserve">, bashkia përsëri realizoi </w:t>
      </w:r>
      <w:r w:rsidRPr="00C06E6F">
        <w:rPr>
          <w:b/>
          <w:bCs/>
        </w:rPr>
        <w:t>3</w:t>
      </w:r>
      <w:r w:rsidRPr="00C06E6F">
        <w:t xml:space="preserve"> panaire. Trendi vazhdoi pandryshuar në vitin </w:t>
      </w:r>
      <w:r w:rsidRPr="00C06E6F">
        <w:rPr>
          <w:b/>
          <w:bCs/>
        </w:rPr>
        <w:t>2023</w:t>
      </w:r>
      <w:r w:rsidRPr="00C06E6F">
        <w:t xml:space="preserve">, me sërish </w:t>
      </w:r>
      <w:r w:rsidRPr="00C06E6F">
        <w:rPr>
          <w:b/>
          <w:bCs/>
        </w:rPr>
        <w:t>3</w:t>
      </w:r>
      <w:r w:rsidRPr="00C06E6F">
        <w:t xml:space="preserve"> panaire. E njëjta situatë u konstatua për vitet e ardhshme, me </w:t>
      </w:r>
      <w:r w:rsidRPr="00C06E6F">
        <w:rPr>
          <w:b/>
          <w:bCs/>
        </w:rPr>
        <w:t>3</w:t>
      </w:r>
      <w:r w:rsidRPr="00C06E6F">
        <w:t xml:space="preserve"> panaire secili në vitet </w:t>
      </w:r>
      <w:r w:rsidRPr="00C06E6F">
        <w:rPr>
          <w:b/>
          <w:bCs/>
        </w:rPr>
        <w:t>2024</w:t>
      </w:r>
      <w:r w:rsidRPr="00C06E6F">
        <w:t xml:space="preserve">, </w:t>
      </w:r>
      <w:r w:rsidRPr="00C06E6F">
        <w:rPr>
          <w:b/>
          <w:bCs/>
        </w:rPr>
        <w:t>2025</w:t>
      </w:r>
      <w:r w:rsidRPr="00C06E6F">
        <w:t xml:space="preserve">, dhe </w:t>
      </w:r>
      <w:r w:rsidRPr="00C06E6F">
        <w:rPr>
          <w:b/>
          <w:bCs/>
        </w:rPr>
        <w:t>2026</w:t>
      </w:r>
      <w:r w:rsidRPr="00C06E6F">
        <w:t xml:space="preserve">. Ky stabilitet sugjeron një angazhim të vazhdueshëm të bashkisë në promovimin e aktiviteteve të tilla. Organizimi i vazhdueshëm i </w:t>
      </w:r>
      <w:r w:rsidRPr="00C06E6F">
        <w:rPr>
          <w:b/>
          <w:bCs/>
        </w:rPr>
        <w:t>3</w:t>
      </w:r>
      <w:r w:rsidRPr="00C06E6F">
        <w:t xml:space="preserve"> panaireve çdo vit mund të lidhet me një strategji efektive menaxhimi dhe mbështetje lokale. Numri konstant tregon për një strukturë të mirëorganizuar dhe një interes të qëndrueshëm nga komuniteti.</w:t>
      </w:r>
    </w:p>
    <w:p w:rsidR="00C06E6F" w:rsidRDefault="00C06E6F">
      <w:pPr>
        <w:pStyle w:val="NormalWeb"/>
        <w:divId w:val="797794226"/>
      </w:pPr>
    </w:p>
    <w:p w:rsidR="00EF701A" w:rsidRDefault="00EF701A" w:rsidP="00BA3795"/>
    <w:p w:rsidR="00EF701A" w:rsidRDefault="00BA3795" w:rsidP="00BA3795">
      <w:r>
        <w:rPr>
          <w:noProof/>
        </w:rPr>
        <w:drawing>
          <wp:inline distT="0" distB="0" distL="0" distR="0" wp14:anchorId="42C8D901" wp14:editId="2E39CF36">
            <wp:extent cx="5486400" cy="3200400"/>
            <wp:effectExtent l="0" t="0" r="0" b="0"/>
            <wp:docPr id="1063580227" name="Chart 1063580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EF701A" w:rsidRDefault="00EF701A" w:rsidP="00BA3795"/>
    <w:p w:rsidR="00017001" w:rsidRDefault="005F7436" w:rsidP="0093475F">
      <w:pPr>
        <w:rPr>
          <w:b/>
          <w:bCs/>
          <w:lang w:val="nl-BE"/>
        </w:rPr>
      </w:pPr>
      <w:r>
        <w:rPr>
          <w:b/>
          <w:bCs/>
          <w:lang w:val="nl-BE"/>
        </w:rPr>
        <w:br w:type="page"/>
      </w:r>
    </w:p>
    <w:p w:rsidR="00A96BCD" w:rsidRDefault="00A96BCD" w:rsidP="00E566D9">
      <w:pPr>
        <w:pStyle w:val="firstSessionStyle"/>
      </w:pPr>
      <w:bookmarkStart w:id="47" w:name="_Toc210053363"/>
      <w:r w:rsidRPr="00A96BCD">
        <w:rPr>
          <w:b/>
        </w:rPr>
        <w:lastRenderedPageBreak/>
        <w:t>Kategoria</w:t>
      </w:r>
      <w:r>
        <w:t>: Mirëqeverisja</w:t>
      </w:r>
      <w:bookmarkEnd w:id="47"/>
    </w:p>
    <w:p w:rsidR="00E566D9" w:rsidRDefault="00E566D9" w:rsidP="00E566D9">
      <w:pPr>
        <w:pStyle w:val="NormalWeb"/>
      </w:pPr>
      <w:r>
        <w:t>Një prej shtyllave kryesore të mirëqeverisjes në nivel vendor është menaxhimi efektiv i burimeve njerëzore. Administrata vendore nuk mund të funksionojë si një strukturë efikase pa një trupë profesionale të punonjësve që sigurojnë ofrimin cilësor të shërbimeve publike. Përmes planifikimit, organizimit dhe zhvillimit të stafit, si dhe respektimit të standardeve ligjore, bashkia garanton jo vetëm funksionimin e brendshëm të administratës, por edhe rritjen e besimit të qytetarëve tek institucionet. Në këtë kuadër, mirëqeverisja lidhet drejtpërdrejt me aftësinë e bashkisë për të menaxhuar personelin në mënyrë të drejtë, transparente dhe të orientuar drejt performancës.</w:t>
      </w:r>
    </w:p>
    <w:p w:rsidR="00E566D9" w:rsidRDefault="00E566D9" w:rsidP="00E566D9"/>
    <w:p w:rsidR="00A41232" w:rsidRPr="00434583" w:rsidRDefault="00A41232" w:rsidP="00434583">
      <w:pPr>
        <w:pStyle w:val="Style1"/>
      </w:pPr>
      <w:bookmarkStart w:id="48" w:name="_Toc210053364"/>
      <w:r>
        <w:lastRenderedPageBreak/>
        <w:t>Burimet Njerëzore</w:t>
      </w:r>
      <w:bookmarkEnd w:id="48"/>
    </w:p>
    <w:p w:rsidR="00A41232" w:rsidRPr="00A41232" w:rsidRDefault="00A41232" w:rsidP="00A41232">
      <w:pPr>
        <w:rPr>
          <w:rFonts w:cs="Times New Roman"/>
          <w:lang w:val="nl-BE"/>
        </w:rPr>
      </w:pPr>
      <w:r w:rsidRPr="00A41232">
        <w:rPr>
          <w:rFonts w:cs="Times New Roman"/>
          <w:b/>
          <w:lang w:val="nl-BE"/>
        </w:rPr>
        <w:t>P</w:t>
      </w:r>
      <w:r w:rsidRPr="00A41232">
        <w:rPr>
          <w:rFonts w:cs="Times New Roman"/>
          <w:b/>
          <w:bCs/>
          <w:lang w:val="nl-BE"/>
        </w:rPr>
        <w:t>ë</w:t>
      </w:r>
      <w:r w:rsidRPr="00A41232">
        <w:rPr>
          <w:rFonts w:cs="Times New Roman"/>
          <w:b/>
          <w:lang w:val="nl-BE"/>
        </w:rPr>
        <w:t xml:space="preserve">rshkrim i përgjithshëm: </w:t>
      </w:r>
      <w:r w:rsidRPr="00A41232">
        <w:rPr>
          <w:rFonts w:cs="Times New Roman"/>
          <w:lang w:val="nl-BE"/>
        </w:rPr>
        <w:t>Bashkia ka rol të rëndësishëm në menaxhimin e burimeve njerëzore për administraten vendore dhe strukturat e varësisë. Ky funksion përfshin planifikimin, organizimin dhe zhvillimin e kapaciteteve te stafit, si dhe ndjekjen e dinamikave te personelit - duke përfshire rekrutimin, rotacionin, trajnimin dhe raportimin vjetor te te dhenave mbi stafin aktiv dhe të larguar.</w:t>
      </w:r>
    </w:p>
    <w:p w:rsidR="00A41232" w:rsidRPr="00A41232" w:rsidRDefault="00A41232" w:rsidP="00A41232">
      <w:pPr>
        <w:rPr>
          <w:rFonts w:cs="Times New Roman"/>
          <w:lang w:val="nl-BE"/>
        </w:rPr>
      </w:pPr>
      <w:r w:rsidRPr="00A41232">
        <w:rPr>
          <w:rFonts w:cs="Times New Roman"/>
          <w:lang w:val="nl-BE"/>
        </w:rPr>
        <w:t>Qëllimi është të sigurohet një trupë administrative efektive, e kualifikuar dhe në perputhje me nevojat e ofrimit të shërbimeve publike vendore.</w:t>
      </w:r>
    </w:p>
    <w:p w:rsidR="00A41232" w:rsidRPr="00A41232" w:rsidRDefault="00A41232" w:rsidP="00A41232">
      <w:pPr>
        <w:rPr>
          <w:rFonts w:cs="Times New Roman"/>
          <w:b/>
          <w:lang w:val="nl-BE"/>
        </w:rPr>
      </w:pPr>
      <w:r w:rsidRPr="00A41232">
        <w:rPr>
          <w:rFonts w:cs="Times New Roman"/>
          <w:b/>
          <w:lang w:val="nl-BE"/>
        </w:rPr>
        <w:t>Bazë ligjore:</w:t>
      </w:r>
    </w:p>
    <w:p w:rsidR="00A41232" w:rsidRPr="00A41232" w:rsidRDefault="00A41232" w:rsidP="00A41232">
      <w:pPr>
        <w:rPr>
          <w:rFonts w:cs="Times New Roman"/>
          <w:lang w:val="nl-BE"/>
        </w:rPr>
      </w:pPr>
      <w:r w:rsidRPr="00A41232">
        <w:rPr>
          <w:rFonts w:cs="Times New Roman"/>
          <w:lang w:val="nl-BE"/>
        </w:rPr>
        <w:t>Ligji Nr. 139/2015 "Për vetëqeverisjen vendore" i njeh bashkive autoritetin per organizimin e administrates së tyre dhe menaxhimin e personelit në perputhje me strukturën miratuar me vendim të Këshillit Bashkiak.</w:t>
      </w:r>
    </w:p>
    <w:p w:rsidR="00A96BCD" w:rsidRDefault="00A41232" w:rsidP="00A41232">
      <w:pPr>
        <w:rPr>
          <w:rFonts w:cs="Times New Roman"/>
          <w:lang w:val="nl-BE"/>
        </w:rPr>
      </w:pPr>
      <w:r w:rsidRPr="00A41232">
        <w:rPr>
          <w:rFonts w:cs="Times New Roman"/>
          <w:lang w:val="nl-BE"/>
        </w:rPr>
        <w:t>Për më tepr, Ligji Nr. 7961/1995 "Kodi i Punes", si dhe legjislacioni për shërbimin civil dhe aktet nënligjore per planifikimin e burimeve njerëzore percaktojne rregullat per trajtimin, trajnimet dhe procedurat për rekrutimin dhe largimin nga puna të stafit.</w:t>
      </w:r>
    </w:p>
    <w:p w:rsidR="00E566D9" w:rsidRPr="00E566D9" w:rsidRDefault="00E566D9" w:rsidP="000708F2">
      <w:pPr>
        <w:pStyle w:val="Style2"/>
      </w:pPr>
      <w:r w:rsidRPr="00434583">
        <w:t>Të dhënat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174"/>
        <w:gridCol w:w="696"/>
        <w:gridCol w:w="696"/>
        <w:gridCol w:w="696"/>
        <w:gridCol w:w="696"/>
        <w:gridCol w:w="696"/>
        <w:gridCol w:w="696"/>
      </w:tblGrid>
      <w:tr w:rsidR="00BA3795" w:rsidTr="00BA3795">
        <w:trPr>
          <w:trHeight w:val="449"/>
          <w:jc w:val="center"/>
        </w:trPr>
        <w:tc>
          <w:tcPr>
            <w:tcW w:w="0" w:type="auto"/>
            <w:shd w:val="clear" w:color="auto" w:fill="D9E1F2"/>
            <w:vAlign w:val="center"/>
          </w:tcPr>
          <w:p w:rsidR="00E566D9" w:rsidRDefault="00BA3795" w:rsidP="00E566D9">
            <w:pPr>
              <w:spacing w:after="0" w:line="200" w:lineRule="auto"/>
              <w:jc w:val="left"/>
            </w:pPr>
            <w:bookmarkStart w:id="49" w:name="te_dhenat_BNJ"/>
            <w:bookmarkEnd w:id="49"/>
            <w:r>
              <w:rPr>
                <w:b/>
              </w:rPr>
              <w:t>Emri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Ditë trajnimi në total</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68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84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Punonjës që janë ulur në detyrë në administratë brenda vitit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Numri total i punonjësve të bashkisë që janë larguar nga puna brenda vitit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27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29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Numri total i punonjëseve femra të bashkisë që kanë lëvizur nga puna brenda vitit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Numri i punonjësve të policisë bashkiake të trajnuar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Numri total i punonjësve të policisë bashkiake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Zjarrëfikës në dispozicion</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r>
    </w:tbl>
    <w:p w:rsidR="00E566D9" w:rsidRDefault="00E566D9" w:rsidP="00E566D9">
      <w:pPr>
        <w:rPr>
          <w:lang w:val="nl-BE"/>
        </w:rPr>
      </w:pPr>
    </w:p>
    <w:p w:rsidR="000708F2" w:rsidRDefault="000708F2" w:rsidP="00E566D9">
      <w:pPr>
        <w:rPr>
          <w:lang w:val="nl-BE"/>
        </w:rPr>
      </w:pPr>
      <w:bookmarkStart w:id="50" w:name="te_dhenat_grafik_BNJ"/>
      <w:bookmarkEnd w:id="50"/>
    </w:p>
    <w:p w:rsidR="00EF701A" w:rsidRDefault="00EF701A"/>
    <w:p w:rsidR="00EF701A" w:rsidRDefault="00BA3795" w:rsidP="00BA3795">
      <w:pPr>
        <w:pStyle w:val="dataNameStyle"/>
      </w:pPr>
      <w:r>
        <w:t>Ditë trajnimi në total</w:t>
      </w:r>
    </w:p>
    <w:p w:rsidR="00C06E6F" w:rsidRPr="00C06E6F" w:rsidRDefault="00C06E6F" w:rsidP="00C06E6F">
      <w:pPr>
        <w:pStyle w:val="NormalWeb"/>
        <w:divId w:val="1515654328"/>
      </w:pPr>
      <w:r w:rsidRPr="00C06E6F">
        <w:t xml:space="preserve">Të dhënat e bashkisë Roskovec tregojnë ndryshime të konsiderueshme në numrin e ditëve të trajnimit nga viti </w:t>
      </w:r>
      <w:r w:rsidRPr="00C06E6F">
        <w:rPr>
          <w:b/>
          <w:bCs/>
        </w:rPr>
        <w:t>2021</w:t>
      </w:r>
      <w:r w:rsidRPr="00C06E6F">
        <w:t xml:space="preserve"> deri në </w:t>
      </w:r>
      <w:r w:rsidRPr="00C06E6F">
        <w:rPr>
          <w:b/>
          <w:bCs/>
        </w:rPr>
        <w:t>2026</w:t>
      </w:r>
      <w:r w:rsidRPr="00C06E6F">
        <w:t xml:space="preserve">. Në </w:t>
      </w:r>
      <w:r w:rsidRPr="00C06E6F">
        <w:rPr>
          <w:b/>
          <w:bCs/>
        </w:rPr>
        <w:t>2021</w:t>
      </w:r>
      <w:r w:rsidRPr="00C06E6F">
        <w:t xml:space="preserve">, u zhvilluan </w:t>
      </w:r>
      <w:r w:rsidR="00BA3795">
        <w:t xml:space="preserve">48 </w:t>
      </w:r>
      <w:r w:rsidRPr="00C06E6F">
        <w:t xml:space="preserve">ditë trajnimi, </w:t>
      </w:r>
      <w:r w:rsidR="00BA3795">
        <w:t>N</w:t>
      </w:r>
      <w:r w:rsidRPr="00C06E6F">
        <w:t xml:space="preserve">ë </w:t>
      </w:r>
      <w:r w:rsidRPr="00C06E6F">
        <w:rPr>
          <w:b/>
          <w:bCs/>
        </w:rPr>
        <w:t>2022</w:t>
      </w:r>
      <w:r w:rsidRPr="00C06E6F">
        <w:t xml:space="preserve">, ka një rritje </w:t>
      </w:r>
      <w:r w:rsidR="00BA3795">
        <w:lastRenderedPageBreak/>
        <w:t>në</w:t>
      </w:r>
      <w:r w:rsidRPr="00C06E6F">
        <w:t xml:space="preserve"> </w:t>
      </w:r>
      <w:r w:rsidR="00BA3795">
        <w:t xml:space="preserve">68 </w:t>
      </w:r>
      <w:r w:rsidRPr="00C06E6F">
        <w:t xml:space="preserve">ditë trajnimi, </w:t>
      </w:r>
      <w:r w:rsidR="00BA3795">
        <w:t xml:space="preserve">në </w:t>
      </w:r>
      <w:r w:rsidR="00BA3795" w:rsidRPr="00BA3795">
        <w:rPr>
          <w:b/>
        </w:rPr>
        <w:t>2023</w:t>
      </w:r>
      <w:r w:rsidR="00BA3795">
        <w:t xml:space="preserve"> kemi 117 </w:t>
      </w:r>
      <w:r w:rsidR="00BA3795" w:rsidRPr="00C06E6F">
        <w:t>ditë trajnimi</w:t>
      </w:r>
      <w:r w:rsidR="00BA3795">
        <w:t xml:space="preserve">, </w:t>
      </w:r>
      <w:r w:rsidRPr="00C06E6F">
        <w:t xml:space="preserve">që është vlera më e lartë në të dhënat e paraqitura. Kjo ndoshta tregon një përkushtim të shtuar ndaj zhvillimit të burimeve njerëzore atë vit. Në </w:t>
      </w:r>
      <w:r w:rsidR="00BA3795">
        <w:rPr>
          <w:b/>
          <w:bCs/>
        </w:rPr>
        <w:t>2024</w:t>
      </w:r>
      <w:r w:rsidRPr="00C06E6F">
        <w:t xml:space="preserve">, numri i ditëve të trajnimit bie në </w:t>
      </w:r>
      <w:r w:rsidR="00BA3795">
        <w:rPr>
          <w:b/>
          <w:bCs/>
        </w:rPr>
        <w:t>79</w:t>
      </w:r>
      <w:r w:rsidRPr="00C06E6F">
        <w:t xml:space="preserve">, duke shënuar një ulje të konsiderueshme krahasuar me vitin e kaluar. Për </w:t>
      </w:r>
      <w:r w:rsidR="00BA3795">
        <w:rPr>
          <w:b/>
          <w:bCs/>
        </w:rPr>
        <w:t>2025</w:t>
      </w:r>
      <w:r w:rsidRPr="00C06E6F">
        <w:t xml:space="preserve">, ka një </w:t>
      </w:r>
      <w:r w:rsidR="00BA3795">
        <w:t xml:space="preserve">rritje të vogël të ditëve të trajnimit në 84 ditë trahjnimi. </w:t>
      </w:r>
      <w:r w:rsidRPr="00C06E6F">
        <w:t xml:space="preserve">Në përgjithësi, të dhënat tregojnë variacione të mëdha, me vlera që kulminojnë në </w:t>
      </w:r>
      <w:r w:rsidR="00BA3795">
        <w:rPr>
          <w:b/>
          <w:bCs/>
        </w:rPr>
        <w:t>2023</w:t>
      </w:r>
      <w:r w:rsidRPr="00C06E6F">
        <w:t xml:space="preserve"> dhe ulen ndjeshëm në vitet pasuese.</w:t>
      </w:r>
    </w:p>
    <w:p w:rsidR="00C06E6F" w:rsidRDefault="00C06E6F">
      <w:pPr>
        <w:pStyle w:val="NormalWeb"/>
        <w:divId w:val="1515654328"/>
      </w:pPr>
    </w:p>
    <w:p w:rsidR="00EF701A" w:rsidRDefault="00EF701A" w:rsidP="00BA3795"/>
    <w:p w:rsidR="00EF701A" w:rsidRDefault="00A92ED9" w:rsidP="00BA3795">
      <w:r>
        <w:rPr>
          <w:noProof/>
        </w:rPr>
        <w:drawing>
          <wp:inline distT="0" distB="0" distL="0" distR="0" wp14:anchorId="6AEE2067">
            <wp:extent cx="5456555" cy="29324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56555" cy="2932430"/>
                    </a:xfrm>
                    <a:prstGeom prst="rect">
                      <a:avLst/>
                    </a:prstGeom>
                    <a:noFill/>
                  </pic:spPr>
                </pic:pic>
              </a:graphicData>
            </a:graphic>
          </wp:inline>
        </w:drawing>
      </w:r>
    </w:p>
    <w:p w:rsidR="00EF701A" w:rsidRDefault="00EF701A" w:rsidP="00BA3795"/>
    <w:p w:rsidR="00443184" w:rsidRDefault="00443184"/>
    <w:p w:rsidR="00443184" w:rsidRDefault="00443184"/>
    <w:p w:rsidR="00EF701A" w:rsidRDefault="00EF701A" w:rsidP="00533960">
      <w:bookmarkStart w:id="51" w:name="_GoBack"/>
      <w:bookmarkEnd w:id="51"/>
    </w:p>
    <w:p w:rsidR="00443184" w:rsidRDefault="00443184"/>
    <w:p w:rsidR="00E566D9" w:rsidRDefault="00E566D9" w:rsidP="000708F2">
      <w:pPr>
        <w:pStyle w:val="Style2"/>
      </w:pPr>
      <w:r w:rsidRPr="002A5238">
        <w:t>Treguesit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042"/>
        <w:gridCol w:w="758"/>
        <w:gridCol w:w="758"/>
        <w:gridCol w:w="698"/>
        <w:gridCol w:w="698"/>
        <w:gridCol w:w="698"/>
        <w:gridCol w:w="698"/>
      </w:tblGrid>
      <w:tr w:rsidR="00BA3795" w:rsidTr="00BA3795">
        <w:trPr>
          <w:trHeight w:val="449"/>
          <w:jc w:val="center"/>
        </w:trPr>
        <w:tc>
          <w:tcPr>
            <w:tcW w:w="0" w:type="auto"/>
            <w:shd w:val="clear" w:color="auto" w:fill="D9E1F2"/>
            <w:vAlign w:val="center"/>
          </w:tcPr>
          <w:p w:rsidR="00E566D9" w:rsidRDefault="00BA3795" w:rsidP="00E566D9">
            <w:pPr>
              <w:spacing w:after="0" w:line="200" w:lineRule="auto"/>
              <w:jc w:val="left"/>
            </w:pPr>
            <w:bookmarkStart w:id="52" w:name="treguesit_BNJ"/>
            <w:bookmarkEnd w:id="52"/>
            <w:r>
              <w:rPr>
                <w:b/>
              </w:rPr>
              <w:t>Indikatori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Rritja e kapacitetit të punonjësve të bashkisë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Punonjësit e policisë bashkiake janë të kualifikuar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Rritja e kapaciteteve të punonjësve zjarrfikës</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35.71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36.36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100</w:t>
            </w:r>
          </w:p>
        </w:tc>
      </w:tr>
    </w:tbl>
    <w:p w:rsidR="00E566D9" w:rsidRDefault="00E566D9" w:rsidP="00E566D9">
      <w:pPr>
        <w:rPr>
          <w:lang w:val="nl-BE"/>
        </w:rPr>
      </w:pPr>
    </w:p>
    <w:p w:rsidR="00EF701A" w:rsidRDefault="00EF701A">
      <w:bookmarkStart w:id="53" w:name="treguesit_grafik_BNJ"/>
      <w:bookmarkEnd w:id="53"/>
    </w:p>
    <w:p w:rsidR="00EF701A" w:rsidRDefault="00BA3795" w:rsidP="00BA3795">
      <w:pPr>
        <w:pStyle w:val="indicatorNameStyle"/>
        <w:numPr>
          <w:ilvl w:val="0"/>
          <w:numId w:val="3"/>
        </w:numPr>
      </w:pPr>
      <w:r>
        <w:t>Rritja e kapacitetit të punonjësve të bashkisë</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C06E6F">
            <w:pPr>
              <w:pStyle w:val="StyleofText"/>
              <w:ind w:left="360"/>
            </w:pPr>
            <w:r>
              <w:t>Raporti në % mes punonjësve  të trajnuar dhe punonjësve total</w:t>
            </w:r>
          </w:p>
        </w:tc>
      </w:tr>
    </w:tbl>
    <w:p w:rsidR="00EF701A" w:rsidRDefault="00BA3795">
      <w:pPr>
        <w:pStyle w:val="NormalWeb"/>
        <w:divId w:val="878206757"/>
      </w:pPr>
      <w:r>
        <w:t xml:space="preserve">Raporti në % mes punonjësve të trajnuar dhe punonjësve total në Bashkinë Roskovec tregoi një tendencë rritëse gjatë periudhës së studuar. Në </w:t>
      </w:r>
      <w:r>
        <w:rPr>
          <w:rStyle w:val="Strong"/>
          <w:rFonts w:eastAsiaTheme="majorEastAsia"/>
        </w:rPr>
        <w:t>2021</w:t>
      </w:r>
      <w:r>
        <w:t xml:space="preserve">, vetëm </w:t>
      </w:r>
      <w:r>
        <w:rPr>
          <w:rStyle w:val="Strong"/>
          <w:rFonts w:eastAsiaTheme="majorEastAsia"/>
        </w:rPr>
        <w:t>9.2%</w:t>
      </w:r>
      <w:r>
        <w:t xml:space="preserve"> e punonjësve ishin të trajnuar, duke përfaqësuar një nivel të ulët trajnimi. Ky përqindje u rrit në </w:t>
      </w:r>
      <w:r>
        <w:rPr>
          <w:rStyle w:val="Strong"/>
          <w:rFonts w:eastAsiaTheme="majorEastAsia"/>
        </w:rPr>
        <w:t>11.58%</w:t>
      </w:r>
      <w:r>
        <w:t xml:space="preserve"> në </w:t>
      </w:r>
      <w:r>
        <w:rPr>
          <w:rStyle w:val="Strong"/>
          <w:rFonts w:eastAsiaTheme="majorEastAsia"/>
        </w:rPr>
        <w:t>2022</w:t>
      </w:r>
      <w:r>
        <w:t xml:space="preserve">, duke treguar një përmirësim të lehtë në angazhimin për trajnime të stafit. Për vitin </w:t>
      </w:r>
      <w:r>
        <w:rPr>
          <w:rStyle w:val="Strong"/>
          <w:rFonts w:eastAsiaTheme="majorEastAsia"/>
        </w:rPr>
        <w:t>2023</w:t>
      </w:r>
      <w:r>
        <w:t xml:space="preserve">, përpjekjet për trajnime u intensifikuan, duke arritur në </w:t>
      </w:r>
      <w:r>
        <w:rPr>
          <w:rStyle w:val="Strong"/>
          <w:rFonts w:eastAsiaTheme="majorEastAsia"/>
        </w:rPr>
        <w:t>17.6%</w:t>
      </w:r>
      <w:r>
        <w:t xml:space="preserve">. Ky progres u mbajt konstant për vitet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me pjesëmarrjen në trajnim qëndruar në </w:t>
      </w:r>
      <w:r>
        <w:rPr>
          <w:rStyle w:val="Strong"/>
          <w:rFonts w:eastAsiaTheme="majorEastAsia"/>
        </w:rPr>
        <w:t>17.6%</w:t>
      </w:r>
      <w:r>
        <w:t xml:space="preserve"> çdo vit. Ky stabilitet sugjeron se Bashkia ka arritur një standart të caktuar për trajnime dhe synon ta mbajë atë. Trendet pozitive nga </w:t>
      </w:r>
      <w:r>
        <w:rPr>
          <w:rStyle w:val="Strong"/>
          <w:rFonts w:eastAsiaTheme="majorEastAsia"/>
        </w:rPr>
        <w:t>2021</w:t>
      </w:r>
      <w:r>
        <w:t xml:space="preserve"> deri në </w:t>
      </w:r>
      <w:r>
        <w:rPr>
          <w:rStyle w:val="Strong"/>
          <w:rFonts w:eastAsiaTheme="majorEastAsia"/>
        </w:rPr>
        <w:t>2023</w:t>
      </w:r>
      <w:r>
        <w:t xml:space="preserve"> tregojnë përkushtimin e Bashkisë Roskovec për të përmirësuar aftësitë e stafin të saj. Kjo stabilizim mund të lidhet me politikë të re ose burime të shtuara për zhvillimin profesional. Përfundimisht, theksimi i vazhdueshëm mbi trajnime i ndihmon punonjësit të përmirësojnë performancën dhe efikasitetin e tyre në shërbim të komunitetit.</w:t>
      </w:r>
    </w:p>
    <w:p w:rsidR="00EF701A" w:rsidRDefault="00EF701A" w:rsidP="00BA3795"/>
    <w:p w:rsidR="00EF701A" w:rsidRDefault="00BA3795">
      <w:r>
        <w:rPr>
          <w:noProof/>
        </w:rPr>
        <w:drawing>
          <wp:inline distT="0" distB="0" distL="0" distR="0" wp14:anchorId="0D24E765" wp14:editId="5BCDC80F">
            <wp:extent cx="5486400" cy="3200400"/>
            <wp:effectExtent l="0" t="0" r="0" b="0"/>
            <wp:docPr id="423530845" name="Chart 423530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EF701A" w:rsidRDefault="00EF701A" w:rsidP="00BA3795"/>
    <w:p w:rsidR="00EF701A" w:rsidRDefault="00EF701A"/>
    <w:p w:rsidR="00EF701A" w:rsidRDefault="00BA3795" w:rsidP="00BA3795">
      <w:pPr>
        <w:pStyle w:val="indicatorNameStyle"/>
        <w:numPr>
          <w:ilvl w:val="0"/>
          <w:numId w:val="3"/>
        </w:numPr>
      </w:pPr>
      <w:r>
        <w:lastRenderedPageBreak/>
        <w:t>Punonjësit e policisë bashkiake janë të kualifikuar</w:t>
      </w:r>
    </w:p>
    <w:p w:rsidR="00EF701A" w:rsidRDefault="00EF701A" w:rsidP="00BA379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F1F9"/>
        <w:tblLook w:val="04A0" w:firstRow="1" w:lastRow="0" w:firstColumn="1" w:lastColumn="0" w:noHBand="0" w:noVBand="1"/>
      </w:tblPr>
      <w:tblGrid>
        <w:gridCol w:w="9350"/>
      </w:tblGrid>
      <w:tr w:rsidR="00BA3795" w:rsidTr="00BA3795">
        <w:tc>
          <w:tcPr>
            <w:tcW w:w="9350" w:type="dxa"/>
            <w:shd w:val="clear" w:color="auto" w:fill="EBF1F9"/>
          </w:tcPr>
          <w:p w:rsidR="00EF701A" w:rsidRDefault="00BA3795" w:rsidP="00C06E6F">
            <w:pPr>
              <w:pStyle w:val="StyleofText"/>
              <w:ind w:left="360"/>
            </w:pPr>
            <w:r>
              <w:t>Raporti në % i numrit të  punonjësve të trajnuar ndaj numrit të punonjësve total</w:t>
            </w:r>
          </w:p>
        </w:tc>
      </w:tr>
    </w:tbl>
    <w:p w:rsidR="00EF701A" w:rsidRDefault="00BA3795">
      <w:pPr>
        <w:pStyle w:val="NormalWeb"/>
        <w:divId w:val="1964922448"/>
      </w:pPr>
      <w:r>
        <w:t xml:space="preserve">Të dhënat e bashkisë Roskovec për raportin në përqindje të numrit të punonjësve të trajnuar ndaj numrit total të punonjësve paraqesin një variacion të madh gjatë viteve të analizuara. Në vitin </w:t>
      </w:r>
      <w:r>
        <w:rPr>
          <w:rStyle w:val="Strong"/>
          <w:rFonts w:eastAsiaTheme="majorEastAsia"/>
        </w:rPr>
        <w:t>2021</w:t>
      </w:r>
      <w:r>
        <w:t xml:space="preserve">, nuk rezulton të jetë asnjë punonjës i trajnuar, me raport </w:t>
      </w:r>
      <w:r>
        <w:rPr>
          <w:rStyle w:val="Strong"/>
          <w:rFonts w:eastAsiaTheme="majorEastAsia"/>
        </w:rPr>
        <w:t>0%</w:t>
      </w:r>
      <w:r>
        <w:t xml:space="preserve">. Në vitin </w:t>
      </w:r>
      <w:r>
        <w:rPr>
          <w:rStyle w:val="Strong"/>
          <w:rFonts w:eastAsiaTheme="majorEastAsia"/>
        </w:rPr>
        <w:t>2022</w:t>
      </w:r>
      <w:r>
        <w:t xml:space="preserve">, numri i punonjësve të trajnuar arrin kulmin, me </w:t>
      </w:r>
      <w:r>
        <w:rPr>
          <w:rStyle w:val="Strong"/>
          <w:rFonts w:eastAsiaTheme="majorEastAsia"/>
        </w:rPr>
        <w:t>100%</w:t>
      </w:r>
      <w:r>
        <w:t xml:space="preserve"> të tyre të trajnuar, duke treguar një angazhim të fortë për zhvillimin e kapaciteteve të stafit. Ky përqindje bie përsëri në </w:t>
      </w:r>
      <w:r>
        <w:rPr>
          <w:rStyle w:val="Strong"/>
          <w:rFonts w:eastAsiaTheme="majorEastAsia"/>
        </w:rPr>
        <w:t>0%</w:t>
      </w:r>
      <w:r>
        <w:t xml:space="preserve"> për vitet </w:t>
      </w:r>
      <w:r>
        <w:rPr>
          <w:rStyle w:val="Strong"/>
          <w:rFonts w:eastAsiaTheme="majorEastAsia"/>
        </w:rPr>
        <w:t>2023</w:t>
      </w:r>
      <w:r>
        <w:t xml:space="preserv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Kjo sugjeron se në këto vite nuk është zbatuar asnjë program trajnimi. Variacioni i madh nga </w:t>
      </w:r>
      <w:r>
        <w:rPr>
          <w:rStyle w:val="Strong"/>
          <w:rFonts w:eastAsiaTheme="majorEastAsia"/>
        </w:rPr>
        <w:t>0%</w:t>
      </w:r>
      <w:r>
        <w:t xml:space="preserve"> në </w:t>
      </w:r>
      <w:r>
        <w:rPr>
          <w:rStyle w:val="Strong"/>
          <w:rFonts w:eastAsiaTheme="majorEastAsia"/>
        </w:rPr>
        <w:t>100%</w:t>
      </w:r>
      <w:r>
        <w:t xml:space="preserve"> dhe përsëri në </w:t>
      </w:r>
      <w:r>
        <w:rPr>
          <w:rStyle w:val="Strong"/>
          <w:rFonts w:eastAsiaTheme="majorEastAsia"/>
        </w:rPr>
        <w:t>0%</w:t>
      </w:r>
      <w:r>
        <w:t xml:space="preserve"> tregon një ndryshim të papritur në politikën apo burimet e trajnimit. Faktori i vitit </w:t>
      </w:r>
      <w:r>
        <w:rPr>
          <w:rStyle w:val="Strong"/>
          <w:rFonts w:eastAsiaTheme="majorEastAsia"/>
        </w:rPr>
        <w:t>2022</w:t>
      </w:r>
      <w:r>
        <w:t xml:space="preserve"> ngre pyetje mbi arsyet pas këtij suksesi të jashtëzakonshëm, të cilat mund të përfshijnë mbështetje të jashtme ose projekte të veçanta. Mungesa e vazhdimësisë në vitet pasuese thekson nevojën për një strategji të qëndrueshme të zhvillimit profesional të punonjësve. Analiza e këtyre shifrave mund të jetë e dobishme për të identifikuar mundësitë dhe sfidat e menaxhimit të burimeve njerëzore në këtë bashki.</w:t>
      </w:r>
    </w:p>
    <w:p w:rsidR="00EF701A" w:rsidRDefault="00EF701A" w:rsidP="00BA3795"/>
    <w:p w:rsidR="00EF701A" w:rsidRDefault="00BA3795">
      <w:r>
        <w:rPr>
          <w:noProof/>
        </w:rPr>
        <w:drawing>
          <wp:inline distT="0" distB="0" distL="0" distR="0" wp14:anchorId="0080D466" wp14:editId="69610493">
            <wp:extent cx="5486400" cy="3200400"/>
            <wp:effectExtent l="0" t="0" r="0" b="0"/>
            <wp:docPr id="1136779967" name="Chart 1136779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EF701A" w:rsidRDefault="00EF701A" w:rsidP="00BA3795"/>
    <w:p w:rsidR="00EF701A" w:rsidRDefault="00EF701A" w:rsidP="00BA3795"/>
    <w:p w:rsidR="00EF701A" w:rsidRDefault="00EF701A" w:rsidP="00BA3795"/>
    <w:p w:rsidR="00443184" w:rsidRDefault="00443184"/>
    <w:p w:rsidR="00017001" w:rsidRDefault="00A96BCD" w:rsidP="005F7436">
      <w:pPr>
        <w:pStyle w:val="firstSessionStyle"/>
      </w:pPr>
      <w:bookmarkStart w:id="54" w:name="_Toc210053365"/>
      <w:r w:rsidRPr="00A96BCD">
        <w:rPr>
          <w:b/>
        </w:rPr>
        <w:lastRenderedPageBreak/>
        <w:t>Kategoria</w:t>
      </w:r>
      <w:r>
        <w:t xml:space="preserve">: </w:t>
      </w:r>
      <w:r w:rsidR="00017001">
        <w:t>Menaxhimi Financiar</w:t>
      </w:r>
      <w:bookmarkEnd w:id="54"/>
    </w:p>
    <w:p w:rsidR="005F7436" w:rsidRDefault="005F7436" w:rsidP="005F7436">
      <w:pPr>
        <w:pStyle w:val="NormalWeb"/>
      </w:pPr>
      <w:r>
        <w:t>Menaxhimi financiar është një funksion kyç për sigurimin e qëndrueshmërisë dhe eficiensës së qeverisjes vendore. Ai përfshin planifikimin, administrimin dhe raportimin e burimeve financiare të bashkisë, në përputhje me parimet e përgjegjshmërisë dhe transparencës. Në përmbushjen e këtij funksioni, bashkitë udhëhiqen nga kuadri ligjor për financat vendore, përfshirë Ligjin nr. 9936, datë 26.6.2008, "Për menaxhimin e sistemit buxhetor në Republikën e Shqipërisë" dhe Ligjin nr. 68/2017, "Për financat e vetëqeverisjes vendore".</w:t>
      </w:r>
    </w:p>
    <w:p w:rsidR="005F7436" w:rsidRDefault="005F7436" w:rsidP="005F7436">
      <w:pPr>
        <w:pStyle w:val="NormalWeb"/>
      </w:pPr>
      <w:r>
        <w:t>Kjo kategori ndahet në tri fusha të veçanta, që mbulojnë ciklin financiar: të ardhurat, shpenzimet dhe buxhetimi. Vlerësimi i këtyre fushave ndihmon në monitorimin e kapaciteteve financiare të bashkive dhe në analizimin e performancës së tyre në përdorimin dhe menaxhimin e burimeve publike.</w:t>
      </w:r>
    </w:p>
    <w:p w:rsidR="005F7436" w:rsidRDefault="005F7436" w:rsidP="005F7436">
      <w:pPr>
        <w:pStyle w:val="NormalWeb"/>
      </w:pPr>
      <w:r>
        <w:t>Treguesit që përfshihen në këtë kategori janë renditur më poshtë.</w:t>
      </w:r>
    </w:p>
    <w:p w:rsidR="00400814" w:rsidRDefault="001860D1" w:rsidP="00400814">
      <w:pPr>
        <w:pStyle w:val="Style1"/>
      </w:pPr>
      <w:bookmarkStart w:id="55" w:name="_Toc210053366"/>
      <w:r>
        <w:lastRenderedPageBreak/>
        <w:t>Të A</w:t>
      </w:r>
      <w:r w:rsidR="00017001" w:rsidRPr="001860D1">
        <w:t>rdhurat</w:t>
      </w:r>
      <w:bookmarkEnd w:id="55"/>
    </w:p>
    <w:p w:rsidR="00087AE8" w:rsidRDefault="00087AE8" w:rsidP="00087AE8">
      <w:pPr>
        <w:rPr>
          <w:rFonts w:cs="Times New Roman"/>
          <w:lang w:val="nl-BE"/>
        </w:rPr>
      </w:pPr>
      <w:r w:rsidRPr="00BC38D8">
        <w:rPr>
          <w:rFonts w:cs="Times New Roman"/>
          <w:lang w:val="nl-BE"/>
        </w:rPr>
        <w:t xml:space="preserve">Kjo fushë vlerëson kapacitetin e bashkisë për të gjeneruar të ardhura të qëndrueshme dhe diversifikuara përmes burimeve të veta dhe atyre të transferuara. Analiza e të ardhurave kontribon në kuptimin e varësisë nga transfertat qendrore dhe fuqisë fiskale lokale. E drejta e njësive të vetëqeverisjes vendore për të mbledhur të ardhura buron nga </w:t>
      </w:r>
      <w:r w:rsidRPr="00BC38D8">
        <w:rPr>
          <w:rFonts w:cs="Times New Roman"/>
          <w:b/>
          <w:bCs/>
          <w:lang w:val="nl-BE"/>
        </w:rPr>
        <w:t>neni 11 i Ligjit nr.68/2017 “Për financat e vetëqeverisjes vendore”</w:t>
      </w:r>
      <w:r w:rsidRPr="00BC38D8">
        <w:rPr>
          <w:rFonts w:cs="Times New Roman"/>
          <w:lang w:val="nl-BE"/>
        </w:rPr>
        <w:t>, i cili përcakton butimet e të ardhurave që administrohen nga bashkitë.</w:t>
      </w:r>
    </w:p>
    <w:p w:rsidR="002A5238" w:rsidRPr="00BC38D8" w:rsidRDefault="002A5238" w:rsidP="00087AE8">
      <w:pPr>
        <w:rPr>
          <w:rFonts w:cs="Times New Roman"/>
          <w:lang w:val="nl-BE"/>
        </w:rPr>
      </w:pPr>
    </w:p>
    <w:p w:rsidR="00017001" w:rsidRPr="000708F2" w:rsidRDefault="00400814" w:rsidP="000708F2">
      <w:pPr>
        <w:pStyle w:val="Style2"/>
      </w:pPr>
      <w:r w:rsidRPr="000708F2">
        <w:t>Të dhë</w:t>
      </w:r>
      <w:r w:rsidR="00017001" w:rsidRPr="000708F2">
        <w:t>nat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960"/>
        <w:gridCol w:w="936"/>
        <w:gridCol w:w="936"/>
        <w:gridCol w:w="936"/>
        <w:gridCol w:w="936"/>
        <w:gridCol w:w="936"/>
        <w:gridCol w:w="936"/>
      </w:tblGrid>
      <w:tr w:rsidR="00BA3795" w:rsidTr="00BA3795">
        <w:trPr>
          <w:trHeight w:val="449"/>
          <w:jc w:val="center"/>
        </w:trPr>
        <w:tc>
          <w:tcPr>
            <w:tcW w:w="0" w:type="auto"/>
            <w:shd w:val="clear" w:color="auto" w:fill="D9E1F2"/>
            <w:vAlign w:val="center"/>
          </w:tcPr>
          <w:p w:rsidR="00017001" w:rsidRDefault="00BA3795" w:rsidP="00017001">
            <w:pPr>
              <w:spacing w:after="0" w:line="200" w:lineRule="auto"/>
              <w:jc w:val="left"/>
            </w:pPr>
            <w:bookmarkStart w:id="56" w:name="TeArdhuratTeDhenat"/>
            <w:bookmarkEnd w:id="56"/>
            <w:r>
              <w:rPr>
                <w:b/>
              </w:rPr>
              <w:t>Emri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Te ardhurat e veta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237681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272036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436541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376958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376958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376958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Te ardhura nga taksa e pasurise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106477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129944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132659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153542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153542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153542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Transfera Fakt ne total (e kushtezuar, e pakushtezuar)</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r>
    </w:tbl>
    <w:p w:rsidR="00017001" w:rsidRDefault="00017001" w:rsidP="00017001">
      <w:pPr>
        <w:rPr>
          <w:lang w:val="nl-BE"/>
        </w:rPr>
      </w:pPr>
    </w:p>
    <w:p w:rsidR="00FE15F0" w:rsidRDefault="00FE15F0" w:rsidP="00017001">
      <w:pPr>
        <w:rPr>
          <w:lang w:val="nl-BE"/>
        </w:rPr>
      </w:pPr>
      <w:bookmarkStart w:id="57" w:name="te_dhenat_grafik"/>
      <w:bookmarkEnd w:id="57"/>
    </w:p>
    <w:p w:rsidR="00EF701A" w:rsidRDefault="00EF701A"/>
    <w:p w:rsidR="00EF701A" w:rsidRDefault="00BA3795" w:rsidP="00C06E6F">
      <w:pPr>
        <w:pStyle w:val="dataNameStyle"/>
      </w:pPr>
      <w:r>
        <w:t>Te ardhurat e veta</w:t>
      </w:r>
    </w:p>
    <w:p w:rsidR="00EF701A" w:rsidRDefault="00BA3795">
      <w:pPr>
        <w:pStyle w:val="NormalWeb"/>
        <w:divId w:val="1703896050"/>
      </w:pPr>
      <w:r>
        <w:t xml:space="preserve">Të ardhurat e veta të bashkisë Roskovec tregojnë një trend të qëndrueshëm në rritje gjatë viteve të fundit. Në </w:t>
      </w:r>
      <w:r>
        <w:rPr>
          <w:rStyle w:val="Strong"/>
          <w:rFonts w:eastAsiaTheme="majorEastAsia"/>
        </w:rPr>
        <w:t>2021</w:t>
      </w:r>
      <w:r>
        <w:t xml:space="preserve">, të ardhurat ishin </w:t>
      </w:r>
      <w:r>
        <w:rPr>
          <w:rStyle w:val="Strong"/>
          <w:rFonts w:eastAsiaTheme="majorEastAsia"/>
        </w:rPr>
        <w:t>237,681</w:t>
      </w:r>
      <w:r>
        <w:t xml:space="preserve">. Vitin pasues, në </w:t>
      </w:r>
      <w:r>
        <w:rPr>
          <w:rStyle w:val="Strong"/>
          <w:rFonts w:eastAsiaTheme="majorEastAsia"/>
        </w:rPr>
        <w:t>2022</w:t>
      </w:r>
      <w:r>
        <w:t xml:space="preserve">, këto të ardhura u rritën në </w:t>
      </w:r>
      <w:r>
        <w:rPr>
          <w:rStyle w:val="Strong"/>
          <w:rFonts w:eastAsiaTheme="majorEastAsia"/>
        </w:rPr>
        <w:t>272,036</w:t>
      </w:r>
      <w:r>
        <w:t xml:space="preserve">, duke treguar një rritje të konsiderueshme. Rritja më e madhe shihet në </w:t>
      </w:r>
      <w:r>
        <w:rPr>
          <w:rStyle w:val="Strong"/>
          <w:rFonts w:eastAsiaTheme="majorEastAsia"/>
        </w:rPr>
        <w:t>2023</w:t>
      </w:r>
      <w:r>
        <w:t xml:space="preserve">, ku të ardhurat arritën në </w:t>
      </w:r>
      <w:r>
        <w:rPr>
          <w:rStyle w:val="Strong"/>
          <w:rFonts w:eastAsiaTheme="majorEastAsia"/>
        </w:rPr>
        <w:t>436,541</w:t>
      </w:r>
      <w:r>
        <w:t xml:space="preserve">, dukshëm më të larta se vitet e mëparshme. Për vitin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të ardhurat janë parashikuar të qëndrojnë konstante në </w:t>
      </w:r>
      <w:r>
        <w:rPr>
          <w:rStyle w:val="Strong"/>
          <w:rFonts w:eastAsiaTheme="majorEastAsia"/>
        </w:rPr>
        <w:t>376,958</w:t>
      </w:r>
      <w:r>
        <w:t xml:space="preserve">. Kjo tregon një stabilizim pas rritjes së fortë në </w:t>
      </w:r>
      <w:r>
        <w:rPr>
          <w:rStyle w:val="Strong"/>
          <w:rFonts w:eastAsiaTheme="majorEastAsia"/>
        </w:rPr>
        <w:t>2023</w:t>
      </w:r>
      <w:r>
        <w:t xml:space="preserve">. Krahasuar me </w:t>
      </w:r>
      <w:r>
        <w:rPr>
          <w:rStyle w:val="Strong"/>
          <w:rFonts w:eastAsiaTheme="majorEastAsia"/>
        </w:rPr>
        <w:t>2021</w:t>
      </w:r>
      <w:r>
        <w:t xml:space="preserve">, të ardhurat e </w:t>
      </w:r>
      <w:r>
        <w:rPr>
          <w:rStyle w:val="Strong"/>
          <w:rFonts w:eastAsiaTheme="majorEastAsia"/>
        </w:rPr>
        <w:t>2024</w:t>
      </w:r>
      <w:r>
        <w:t xml:space="preserve"> janë parashikuar të jenë pothuajse </w:t>
      </w:r>
      <w:r>
        <w:rPr>
          <w:rStyle w:val="Strong"/>
          <w:rFonts w:eastAsiaTheme="majorEastAsia"/>
        </w:rPr>
        <w:t>1.59</w:t>
      </w:r>
      <w:r>
        <w:t xml:space="preserve"> herë më të larta. Kjo rritje tregon për politikëbërjen e suksesshme ekonomike të bashkisë. Megjithatë, stanjacioni i vlerës nga </w:t>
      </w:r>
      <w:r>
        <w:rPr>
          <w:rStyle w:val="Strong"/>
          <w:rFonts w:eastAsiaTheme="majorEastAsia"/>
        </w:rPr>
        <w:t>2024</w:t>
      </w:r>
      <w:r>
        <w:t xml:space="preserve"> deri në </w:t>
      </w:r>
      <w:r>
        <w:rPr>
          <w:rStyle w:val="Strong"/>
          <w:rFonts w:eastAsiaTheme="majorEastAsia"/>
        </w:rPr>
        <w:t>2026</w:t>
      </w:r>
      <w:r>
        <w:t xml:space="preserve"> mund të sugjerojë sfida ose projeksione konservative për ato vite. Këto të dhëna janë të rëndësishme për planifikimin buxhetor dhe vendimmarrjet për investimet lokale të ardhshme.</w:t>
      </w:r>
    </w:p>
    <w:p w:rsidR="00EF701A" w:rsidRDefault="00EF701A" w:rsidP="00BA3795"/>
    <w:p w:rsidR="00EF701A" w:rsidRDefault="00BA3795" w:rsidP="00BA3795">
      <w:r>
        <w:rPr>
          <w:noProof/>
        </w:rPr>
        <w:lastRenderedPageBreak/>
        <w:drawing>
          <wp:inline distT="0" distB="0" distL="0" distR="0" wp14:anchorId="49F96C18" wp14:editId="00B4C138">
            <wp:extent cx="5486400" cy="3200400"/>
            <wp:effectExtent l="0" t="0" r="0" b="0"/>
            <wp:docPr id="1894230996" name="Chart 18942309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EF701A" w:rsidRDefault="00EF701A" w:rsidP="00BA3795"/>
    <w:p w:rsidR="00EF701A" w:rsidRDefault="00EF701A"/>
    <w:p w:rsidR="00EF701A" w:rsidRDefault="00BA3795" w:rsidP="00C06E6F">
      <w:pPr>
        <w:pStyle w:val="dataNameStyle"/>
      </w:pPr>
      <w:r>
        <w:t>Te ardhura nga taksa e pasurise</w:t>
      </w:r>
    </w:p>
    <w:p w:rsidR="00EF701A" w:rsidRDefault="00BA3795">
      <w:pPr>
        <w:pStyle w:val="NormalWeb"/>
        <w:divId w:val="1255748089"/>
      </w:pPr>
      <w:r>
        <w:t xml:space="preserve">Të dhënat e bashkisë Roskovec për të ardhurat nga taksa e pasurisë tregojnë një trend në rritje përgjatë viteve të fundit. Në vitin </w:t>
      </w:r>
      <w:r>
        <w:rPr>
          <w:rStyle w:val="Strong"/>
          <w:rFonts w:eastAsiaTheme="majorEastAsia"/>
        </w:rPr>
        <w:t>2021</w:t>
      </w:r>
      <w:r>
        <w:t xml:space="preserve">, të ardhurat ishin </w:t>
      </w:r>
      <w:r>
        <w:rPr>
          <w:rStyle w:val="Strong"/>
          <w:rFonts w:eastAsiaTheme="majorEastAsia"/>
        </w:rPr>
        <w:t>106,477</w:t>
      </w:r>
      <w:r>
        <w:t xml:space="preserve">. Kjo shumë pësoi një rritje të konsiderueshme deri në </w:t>
      </w:r>
      <w:r>
        <w:rPr>
          <w:rStyle w:val="Strong"/>
          <w:rFonts w:eastAsiaTheme="majorEastAsia"/>
        </w:rPr>
        <w:t>129,944</w:t>
      </w:r>
      <w:r>
        <w:t xml:space="preserve"> në vitin </w:t>
      </w:r>
      <w:r>
        <w:rPr>
          <w:rStyle w:val="Strong"/>
          <w:rFonts w:eastAsiaTheme="majorEastAsia"/>
        </w:rPr>
        <w:t>2022</w:t>
      </w:r>
      <w:r>
        <w:t xml:space="preserve">. Së fundi, në vitin </w:t>
      </w:r>
      <w:r>
        <w:rPr>
          <w:rStyle w:val="Strong"/>
          <w:rFonts w:eastAsiaTheme="majorEastAsia"/>
        </w:rPr>
        <w:t>2023</w:t>
      </w:r>
      <w:r>
        <w:t xml:space="preserve">, të ardhurat arritën në </w:t>
      </w:r>
      <w:r>
        <w:rPr>
          <w:rStyle w:val="Strong"/>
          <w:rFonts w:eastAsiaTheme="majorEastAsia"/>
        </w:rPr>
        <w:t>132,659</w:t>
      </w:r>
      <w:r>
        <w:t xml:space="preserve">, që tregon një rritje të mëtutjeshme, edhe pse me ritëm më të ngadaltë krahasuar me vitin paraardhës. Për vitin </w:t>
      </w:r>
      <w:r>
        <w:rPr>
          <w:rStyle w:val="Strong"/>
          <w:rFonts w:eastAsiaTheme="majorEastAsia"/>
        </w:rPr>
        <w:t>2024</w:t>
      </w:r>
      <w:r>
        <w:t xml:space="preserve">, një parashikim i të ardhurave është </w:t>
      </w:r>
      <w:r>
        <w:rPr>
          <w:rStyle w:val="Strong"/>
          <w:rFonts w:eastAsiaTheme="majorEastAsia"/>
        </w:rPr>
        <w:t>153,542</w:t>
      </w:r>
      <w:r>
        <w:t xml:space="preserve">, një shifër e cila mbetet e njëjtë edhe për vitet </w:t>
      </w:r>
      <w:r>
        <w:rPr>
          <w:rStyle w:val="Strong"/>
          <w:rFonts w:eastAsiaTheme="majorEastAsia"/>
        </w:rPr>
        <w:t>2025</w:t>
      </w:r>
      <w:r>
        <w:t xml:space="preserve"> dhe </w:t>
      </w:r>
      <w:r>
        <w:rPr>
          <w:rStyle w:val="Strong"/>
          <w:rFonts w:eastAsiaTheme="majorEastAsia"/>
        </w:rPr>
        <w:t>2026</w:t>
      </w:r>
      <w:r>
        <w:t xml:space="preserve">. Kjo sugjeron një stabilizim të pritshëm të të ardhurave në vitet pasuese. Rritja ndërmjet </w:t>
      </w:r>
      <w:r>
        <w:rPr>
          <w:rStyle w:val="Strong"/>
          <w:rFonts w:eastAsiaTheme="majorEastAsia"/>
        </w:rPr>
        <w:t>2021</w:t>
      </w:r>
      <w:r>
        <w:t xml:space="preserve"> dhe </w:t>
      </w:r>
      <w:r>
        <w:rPr>
          <w:rStyle w:val="Strong"/>
          <w:rFonts w:eastAsiaTheme="majorEastAsia"/>
        </w:rPr>
        <w:t>2024</w:t>
      </w:r>
      <w:r>
        <w:t xml:space="preserve"> është veçanërisht e dukshme dhe tregon një përmirësim të mbledhjes së taksave ose rritje në vlerën e pasurive. Konsistenca në shifrat për </w:t>
      </w:r>
      <w:r>
        <w:rPr>
          <w:rStyle w:val="Strong"/>
          <w:rFonts w:eastAsiaTheme="majorEastAsia"/>
        </w:rPr>
        <w:t>2024-2026</w:t>
      </w:r>
      <w:r>
        <w:t xml:space="preserve"> mund të pasqyrojë plane të qëndrueshme zhvillimi apo politika fiskale në bashki. Në përgjithësi, të dhënat vërejnë një performance pozitive të bashkisë në mbledhjen e të ardhurave nga ky burim specifik.</w:t>
      </w:r>
    </w:p>
    <w:p w:rsidR="00EF701A" w:rsidRDefault="00EF701A" w:rsidP="00BA3795"/>
    <w:p w:rsidR="00EF701A" w:rsidRDefault="00BA3795" w:rsidP="00BA3795">
      <w:r>
        <w:rPr>
          <w:noProof/>
        </w:rPr>
        <w:lastRenderedPageBreak/>
        <w:drawing>
          <wp:inline distT="0" distB="0" distL="0" distR="0" wp14:anchorId="3165356C" wp14:editId="12BF2CEE">
            <wp:extent cx="5486400" cy="3200400"/>
            <wp:effectExtent l="0" t="0" r="0" b="0"/>
            <wp:docPr id="1502988327" name="Chart 1502988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EF701A" w:rsidRDefault="00EF701A" w:rsidP="00BA3795"/>
    <w:p w:rsidR="00EF701A" w:rsidRDefault="00EF701A" w:rsidP="00BA3795"/>
    <w:p w:rsidR="00EF701A" w:rsidRDefault="00EF701A" w:rsidP="00BA3795"/>
    <w:p w:rsidR="00017001" w:rsidRPr="002A5238" w:rsidRDefault="00017001" w:rsidP="000708F2">
      <w:pPr>
        <w:pStyle w:val="Style2"/>
      </w:pPr>
      <w:r w:rsidRPr="002A5238">
        <w:t>Treguesit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184"/>
        <w:gridCol w:w="696"/>
        <w:gridCol w:w="696"/>
        <w:gridCol w:w="756"/>
        <w:gridCol w:w="748"/>
        <w:gridCol w:w="748"/>
        <w:gridCol w:w="748"/>
      </w:tblGrid>
      <w:tr w:rsidR="00BA3795" w:rsidTr="00BA3795">
        <w:trPr>
          <w:trHeight w:val="449"/>
          <w:jc w:val="center"/>
        </w:trPr>
        <w:tc>
          <w:tcPr>
            <w:tcW w:w="0" w:type="auto"/>
            <w:shd w:val="clear" w:color="auto" w:fill="D9E1F2"/>
            <w:vAlign w:val="center"/>
          </w:tcPr>
          <w:p w:rsidR="00017001" w:rsidRDefault="00BA3795" w:rsidP="00017001">
            <w:pPr>
              <w:spacing w:after="0" w:line="200" w:lineRule="auto"/>
              <w:jc w:val="left"/>
            </w:pPr>
            <w:bookmarkStart w:id="58" w:name="TeArdhuratIndikatoret"/>
            <w:bookmarkEnd w:id="58"/>
            <w:r>
              <w:rPr>
                <w:b/>
              </w:rPr>
              <w:t>Indikatori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Te ardhura per fryme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8.36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11.53</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Te ardhurat nga taksa e pasurise ne raport me te ardhurat vendore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0.41</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Te ardhurat e veta perkundrejt transfertave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r>
    </w:tbl>
    <w:p w:rsidR="00017001" w:rsidRDefault="00017001" w:rsidP="00017001">
      <w:pPr>
        <w:rPr>
          <w:lang w:val="nl-BE"/>
        </w:rPr>
      </w:pPr>
    </w:p>
    <w:p w:rsidR="00EF701A" w:rsidRPr="00C06E6F" w:rsidRDefault="008E6EFE">
      <w:pPr>
        <w:rPr>
          <w:lang w:val="nl-BE"/>
        </w:rPr>
      </w:pPr>
      <w:bookmarkStart w:id="59" w:name="treguesitArdhur_grafik"/>
      <w:bookmarkEnd w:id="59"/>
      <w:r>
        <w:rPr>
          <w:lang w:val="nl-BE"/>
        </w:rPr>
        <w:br w:type="page"/>
      </w:r>
    </w:p>
    <w:p w:rsidR="00EF701A" w:rsidRDefault="00BA3795" w:rsidP="00BA3795">
      <w:pPr>
        <w:pStyle w:val="indicatorNameStyle"/>
        <w:numPr>
          <w:ilvl w:val="0"/>
          <w:numId w:val="3"/>
        </w:numPr>
      </w:pPr>
      <w:r>
        <w:lastRenderedPageBreak/>
        <w:t>Te ardhura per fryme</w:t>
      </w:r>
    </w:p>
    <w:p w:rsidR="00EF701A" w:rsidRDefault="00BA3795">
      <w:pPr>
        <w:pStyle w:val="NormalWeb"/>
        <w:divId w:val="2142841239"/>
      </w:pPr>
      <w:r>
        <w:t xml:space="preserve">Të dhënat e paraqitura për Bashkinë Roskovec tregojnë një përparim në një aspekt të caktuar përgjatë viteve 2021 deri në 2026. Në </w:t>
      </w:r>
      <w:r>
        <w:rPr>
          <w:rStyle w:val="Strong"/>
          <w:rFonts w:eastAsiaTheme="majorEastAsia"/>
        </w:rPr>
        <w:t>2021</w:t>
      </w:r>
      <w:r>
        <w:t xml:space="preserve">, vlera është </w:t>
      </w:r>
      <w:r>
        <w:rPr>
          <w:rStyle w:val="Strong"/>
          <w:rFonts w:eastAsiaTheme="majorEastAsia"/>
        </w:rPr>
        <w:t>7.36</w:t>
      </w:r>
      <w:r>
        <w:t xml:space="preserve">, duke shënuar startin e të dhënave të dokumentuara. Ka një rritje të lehtë në </w:t>
      </w:r>
      <w:r>
        <w:rPr>
          <w:rStyle w:val="Strong"/>
          <w:rFonts w:eastAsiaTheme="majorEastAsia"/>
        </w:rPr>
        <w:t>2022</w:t>
      </w:r>
      <w:r>
        <w:t xml:space="preserve">, me vlerën që arrin në </w:t>
      </w:r>
      <w:r>
        <w:rPr>
          <w:rStyle w:val="Strong"/>
          <w:rFonts w:eastAsiaTheme="majorEastAsia"/>
        </w:rPr>
        <w:t>8.36</w:t>
      </w:r>
      <w:r>
        <w:t xml:space="preserve">. Arritja më e madhe shënohet në </w:t>
      </w:r>
      <w:r>
        <w:rPr>
          <w:rStyle w:val="Strong"/>
          <w:rFonts w:eastAsiaTheme="majorEastAsia"/>
        </w:rPr>
        <w:t>2023</w:t>
      </w:r>
      <w:r>
        <w:t xml:space="preserve">, ku vlera ngjitet në </w:t>
      </w:r>
      <w:r>
        <w:rPr>
          <w:rStyle w:val="Strong"/>
          <w:rFonts w:eastAsiaTheme="majorEastAsia"/>
        </w:rPr>
        <w:t>17.45</w:t>
      </w:r>
      <w:r>
        <w:t xml:space="preserve">, që është dyfishi i të dhënave të mëparshme, duke sugjeruar një zhvillim të shpejtë për atë vit. Më pas, ka një ulje në </w:t>
      </w:r>
      <w:r>
        <w:rPr>
          <w:rStyle w:val="Strong"/>
          <w:rFonts w:eastAsiaTheme="majorEastAsia"/>
        </w:rPr>
        <w:t>2024</w:t>
      </w:r>
      <w:r>
        <w:t xml:space="preserve">, me vlerën që bie në </w:t>
      </w:r>
      <w:r>
        <w:rPr>
          <w:rStyle w:val="Strong"/>
          <w:rFonts w:eastAsiaTheme="majorEastAsia"/>
        </w:rPr>
        <w:t>11.53</w:t>
      </w:r>
      <w:r>
        <w:t xml:space="preserve">. Kjo vlerë ruhet në të njëjtin nivel edhe për vitet </w:t>
      </w:r>
      <w:r>
        <w:rPr>
          <w:rStyle w:val="Strong"/>
          <w:rFonts w:eastAsiaTheme="majorEastAsia"/>
        </w:rPr>
        <w:t>2025</w:t>
      </w:r>
      <w:r>
        <w:t xml:space="preserve"> dhe </w:t>
      </w:r>
      <w:r>
        <w:rPr>
          <w:rStyle w:val="Strong"/>
          <w:rFonts w:eastAsiaTheme="majorEastAsia"/>
        </w:rPr>
        <w:t>2026</w:t>
      </w:r>
      <w:r>
        <w:t xml:space="preserve">, duke treguar stabilitet dhe qëndrueshmëri në këtë fazë. Kjo periudhë tregon një konsolidim pas rritjes së madhe të </w:t>
      </w:r>
      <w:r>
        <w:rPr>
          <w:rStyle w:val="Strong"/>
          <w:rFonts w:eastAsiaTheme="majorEastAsia"/>
        </w:rPr>
        <w:t>2023</w:t>
      </w:r>
      <w:r>
        <w:t xml:space="preserve">. Në përgjithësi, të dhënat reflektojnë një trend të variueshëm, me kulmin e arritjeve në </w:t>
      </w:r>
      <w:r>
        <w:rPr>
          <w:rStyle w:val="Strong"/>
          <w:rFonts w:eastAsiaTheme="majorEastAsia"/>
        </w:rPr>
        <w:t>2023</w:t>
      </w:r>
      <w:r>
        <w:t xml:space="preserve"> dhe stabilizimin më pas. Ky ndryshim mund të reflektojë ndryshime në politikat, investimet apo faktorë të tjerë të jashtëm që ndikojnë në performancën e treguar. Të dhënat dëshmojnë një dinamikë të rëndësishme, duke shfaqur të cilën është me rëndësi të kuptohet në kontekstin e përgjithshëm të planifikimit dhe zhvillimit të Bashkisë Roskovec.</w:t>
      </w:r>
    </w:p>
    <w:p w:rsidR="00EF701A" w:rsidRDefault="00EF701A" w:rsidP="00BA3795"/>
    <w:p w:rsidR="00EF701A" w:rsidRDefault="00BA3795">
      <w:r>
        <w:rPr>
          <w:noProof/>
        </w:rPr>
        <w:drawing>
          <wp:inline distT="0" distB="0" distL="0" distR="0" wp14:anchorId="33B42547" wp14:editId="2106D1DD">
            <wp:extent cx="5486400" cy="3200400"/>
            <wp:effectExtent l="0" t="0" r="0" b="0"/>
            <wp:docPr id="971709614" name="Chart 9717096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EF701A" w:rsidRDefault="00EF701A" w:rsidP="00BA3795"/>
    <w:p w:rsidR="00EF701A" w:rsidRDefault="00EF701A" w:rsidP="00BA3795"/>
    <w:p w:rsidR="00EF701A" w:rsidRDefault="00EF701A" w:rsidP="00BA3795"/>
    <w:p w:rsidR="00EF701A" w:rsidRDefault="00EF701A"/>
    <w:p w:rsidR="00EF701A" w:rsidRDefault="00BA3795" w:rsidP="00BA3795">
      <w:pPr>
        <w:pStyle w:val="indicatorNameStyle"/>
        <w:numPr>
          <w:ilvl w:val="0"/>
          <w:numId w:val="3"/>
        </w:numPr>
      </w:pPr>
      <w:r>
        <w:t>Te ardhurat nga taksa e pasurise ne raport me te ardhurat vendore</w:t>
      </w:r>
    </w:p>
    <w:p w:rsidR="00EF701A" w:rsidRDefault="00BA3795">
      <w:pPr>
        <w:pStyle w:val="NormalWeb"/>
        <w:divId w:val="1207450155"/>
      </w:pPr>
      <w:r>
        <w:lastRenderedPageBreak/>
        <w:t xml:space="preserve">Të dhënat për Bashkinë Roskovec tregojnë ndryshimet në një tregues të caktuar për vitet </w:t>
      </w:r>
      <w:r>
        <w:rPr>
          <w:rStyle w:val="Strong"/>
          <w:rFonts w:eastAsiaTheme="majorEastAsia"/>
        </w:rPr>
        <w:t>2021</w:t>
      </w:r>
      <w:r>
        <w:t>-</w:t>
      </w:r>
      <w:r>
        <w:rPr>
          <w:rStyle w:val="Strong"/>
          <w:rFonts w:eastAsiaTheme="majorEastAsia"/>
        </w:rPr>
        <w:t>2026</w:t>
      </w:r>
      <w:r>
        <w:t xml:space="preserve">. Në </w:t>
      </w:r>
      <w:r>
        <w:rPr>
          <w:rStyle w:val="Strong"/>
          <w:rFonts w:eastAsiaTheme="majorEastAsia"/>
        </w:rPr>
        <w:t>2021</w:t>
      </w:r>
      <w:r>
        <w:t xml:space="preserve">, vlera ishte </w:t>
      </w:r>
      <w:r>
        <w:rPr>
          <w:rStyle w:val="Strong"/>
          <w:rFonts w:eastAsiaTheme="majorEastAsia"/>
        </w:rPr>
        <w:t>0.45</w:t>
      </w:r>
      <w:r>
        <w:t xml:space="preserve">, duke shënuar fillimin e periudhës së analizuar. Në </w:t>
      </w:r>
      <w:r>
        <w:rPr>
          <w:rStyle w:val="Strong"/>
          <w:rFonts w:eastAsiaTheme="majorEastAsia"/>
        </w:rPr>
        <w:t>2022</w:t>
      </w:r>
      <w:r>
        <w:t xml:space="preserve">, vlera u rrit pak në </w:t>
      </w:r>
      <w:r>
        <w:rPr>
          <w:rStyle w:val="Strong"/>
          <w:rFonts w:eastAsiaTheme="majorEastAsia"/>
        </w:rPr>
        <w:t>0.48</w:t>
      </w:r>
      <w:r>
        <w:t xml:space="preserve">, duke treguar një përmirësim të lehtë krahasuar me vitin e mëparshëm. Megjithatë, në </w:t>
      </w:r>
      <w:r>
        <w:rPr>
          <w:rStyle w:val="Strong"/>
          <w:rFonts w:eastAsiaTheme="majorEastAsia"/>
        </w:rPr>
        <w:t>2023</w:t>
      </w:r>
      <w:r>
        <w:t xml:space="preserve">, u vu re një rënie e ndjeshme në </w:t>
      </w:r>
      <w:r>
        <w:rPr>
          <w:rStyle w:val="Strong"/>
          <w:rFonts w:eastAsiaTheme="majorEastAsia"/>
        </w:rPr>
        <w:t>0.3</w:t>
      </w:r>
      <w:r>
        <w:t xml:space="preserve">, që mund të sugjerojë sfida ose ndryshime strukturore. Për vitin </w:t>
      </w:r>
      <w:r>
        <w:rPr>
          <w:rStyle w:val="Strong"/>
          <w:rFonts w:eastAsiaTheme="majorEastAsia"/>
        </w:rPr>
        <w:t>2024</w:t>
      </w:r>
      <w:r>
        <w:t xml:space="preserve">, vlera u rikuperua disi duke arritur </w:t>
      </w:r>
      <w:r>
        <w:rPr>
          <w:rStyle w:val="Strong"/>
          <w:rFonts w:eastAsiaTheme="majorEastAsia"/>
        </w:rPr>
        <w:t>0.41</w:t>
      </w:r>
      <w:r>
        <w:t xml:space="preserve">, një shenjë e një stabilizimi të mundshëm. Vitet </w:t>
      </w:r>
      <w:r>
        <w:rPr>
          <w:rStyle w:val="Strong"/>
          <w:rFonts w:eastAsiaTheme="majorEastAsia"/>
        </w:rPr>
        <w:t>2025</w:t>
      </w:r>
      <w:r>
        <w:t xml:space="preserve"> dhe </w:t>
      </w:r>
      <w:r>
        <w:rPr>
          <w:rStyle w:val="Strong"/>
          <w:rFonts w:eastAsiaTheme="majorEastAsia"/>
        </w:rPr>
        <w:t>2026</w:t>
      </w:r>
      <w:r>
        <w:t xml:space="preserve"> mbeten konstante me vlerat e </w:t>
      </w:r>
      <w:r>
        <w:rPr>
          <w:rStyle w:val="Strong"/>
          <w:rFonts w:eastAsiaTheme="majorEastAsia"/>
        </w:rPr>
        <w:t>0.41</w:t>
      </w:r>
      <w:r>
        <w:t xml:space="preserve">, duke treguar një periudhë stabiliteti. Ky stabilitet mund të interpretet si efektivitet i masave të marra për të ruajtur një nivel të caktuar. Krahasuar me fillimin e periudhës, ka një konsistencë me vlerën e vitit të parë, por një rënie nga piku i vitit </w:t>
      </w:r>
      <w:r>
        <w:rPr>
          <w:rStyle w:val="Strong"/>
          <w:rFonts w:eastAsiaTheme="majorEastAsia"/>
        </w:rPr>
        <w:t>2022</w:t>
      </w:r>
      <w:r>
        <w:t>. Është e rëndësishme të analizohen faktorët që mund të kenë ndikuar në këto ndryshime. Të dhënat sugjerojnë nevojën për monitorim të mëtejshëm për të vlerësuar trendet e ardhshme.</w:t>
      </w:r>
    </w:p>
    <w:p w:rsidR="00EF701A" w:rsidRDefault="00EF701A" w:rsidP="00BA3795"/>
    <w:p w:rsidR="00EF701A" w:rsidRDefault="00BA3795">
      <w:r>
        <w:rPr>
          <w:noProof/>
        </w:rPr>
        <w:drawing>
          <wp:inline distT="0" distB="0" distL="0" distR="0" wp14:anchorId="1DADC030" wp14:editId="2DB2AE0E">
            <wp:extent cx="5486400" cy="3200400"/>
            <wp:effectExtent l="0" t="0" r="0" b="0"/>
            <wp:docPr id="919965163" name="Chart 919965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EF701A" w:rsidRDefault="00EF701A" w:rsidP="00BA3795"/>
    <w:p w:rsidR="00EF701A" w:rsidRDefault="00EF701A" w:rsidP="00BA3795"/>
    <w:p w:rsidR="00EF701A" w:rsidRDefault="00EF701A" w:rsidP="00BA3795"/>
    <w:p w:rsidR="00C06E6F" w:rsidRDefault="00C06E6F" w:rsidP="00BA3795"/>
    <w:p w:rsidR="00EF701A" w:rsidRDefault="00EF701A" w:rsidP="00BA3795"/>
    <w:p w:rsidR="00017001" w:rsidRDefault="008E6EFE" w:rsidP="008E6EFE">
      <w:pPr>
        <w:pStyle w:val="Style1"/>
      </w:pPr>
      <w:bookmarkStart w:id="60" w:name="_Toc210053367"/>
      <w:r>
        <w:lastRenderedPageBreak/>
        <w:t>Buxheti</w:t>
      </w:r>
      <w:bookmarkEnd w:id="60"/>
    </w:p>
    <w:p w:rsidR="00537DAF" w:rsidRDefault="00E46253" w:rsidP="00537DAF">
      <w:pPr>
        <w:rPr>
          <w:rFonts w:cs="Times New Roman"/>
          <w:lang w:val="nl-BE"/>
        </w:rPr>
      </w:pPr>
      <w:r w:rsidRPr="00BC38D8">
        <w:rPr>
          <w:rFonts w:cs="Times New Roman"/>
          <w:lang w:val="nl-BE"/>
        </w:rPr>
        <w:t>Fusha e buxhetit fokusohet në procesin e hartimit, miratimit dhe zbatimit të buxhetit vjetor bashkiak. Si dhe përputhshmërinë me ciklin buxhetor. Procesi i planifikimit dhe miratimit të buxhetit lokal rregullohet nga neni 21-25 i Ligjit nr 9936, date 26.06.2008 “Për menaxhimin e sistemit buxhetor në Republikën e Shqipërisë”, Ligji nr.68/2017 “ Për financat e vetëqeverisjes vendore” si dhe nga udhëzimet përkatëse të Ministrisë së Financave</w:t>
      </w:r>
      <w:r w:rsidR="00487468" w:rsidRPr="00BC38D8">
        <w:rPr>
          <w:rFonts w:cs="Times New Roman"/>
          <w:lang w:val="nl-BE"/>
        </w:rPr>
        <w:t>.</w:t>
      </w:r>
    </w:p>
    <w:p w:rsidR="002A5238" w:rsidRDefault="002A5238" w:rsidP="00537DAF">
      <w:pPr>
        <w:rPr>
          <w:rFonts w:cs="Times New Roman"/>
          <w:lang w:val="nl-BE"/>
        </w:rPr>
      </w:pPr>
    </w:p>
    <w:p w:rsidR="002A5238" w:rsidRPr="00434583" w:rsidRDefault="002A5238" w:rsidP="000708F2">
      <w:pPr>
        <w:pStyle w:val="Style2"/>
      </w:pPr>
      <w:r w:rsidRPr="00434583">
        <w:t>Të dhënat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2524"/>
        <w:gridCol w:w="1176"/>
        <w:gridCol w:w="1176"/>
        <w:gridCol w:w="1175"/>
        <w:gridCol w:w="1175"/>
        <w:gridCol w:w="1175"/>
        <w:gridCol w:w="1175"/>
      </w:tblGrid>
      <w:tr w:rsidR="00BA3795" w:rsidTr="00BA3795">
        <w:trPr>
          <w:trHeight w:val="449"/>
          <w:jc w:val="center"/>
        </w:trPr>
        <w:tc>
          <w:tcPr>
            <w:tcW w:w="0" w:type="auto"/>
            <w:shd w:val="clear" w:color="auto" w:fill="D9E1F2"/>
            <w:vAlign w:val="center"/>
          </w:tcPr>
          <w:p w:rsidR="002A5238" w:rsidRDefault="00BA3795" w:rsidP="002A5238">
            <w:pPr>
              <w:spacing w:after="0" w:line="200" w:lineRule="auto"/>
              <w:jc w:val="left"/>
            </w:pPr>
            <w:bookmarkStart w:id="61" w:name="buxheti_tedhena"/>
            <w:bookmarkEnd w:id="61"/>
            <w:r>
              <w:rPr>
                <w:b/>
              </w:rPr>
              <w:t>Emri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Buxheti Total Fakt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635574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457879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395155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396005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495292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363559</w:t>
            </w:r>
          </w:p>
        </w:tc>
      </w:tr>
    </w:tbl>
    <w:p w:rsidR="002A5238" w:rsidRDefault="002A5238" w:rsidP="002A5238">
      <w:pPr>
        <w:rPr>
          <w:lang w:val="nl-BE"/>
        </w:rPr>
      </w:pPr>
    </w:p>
    <w:p w:rsidR="00FE15F0" w:rsidRDefault="00FE15F0" w:rsidP="002A5238">
      <w:pPr>
        <w:rPr>
          <w:lang w:val="nl-BE"/>
        </w:rPr>
      </w:pPr>
      <w:bookmarkStart w:id="62" w:name="buxhetiData_grafik"/>
      <w:bookmarkEnd w:id="62"/>
    </w:p>
    <w:p w:rsidR="00EF701A" w:rsidRDefault="00EF701A"/>
    <w:p w:rsidR="00EF701A" w:rsidRDefault="00BA3795" w:rsidP="00C06E6F">
      <w:pPr>
        <w:pStyle w:val="dataNameStyle"/>
      </w:pPr>
      <w:r>
        <w:t>Buxheti Total Fakt</w:t>
      </w:r>
    </w:p>
    <w:p w:rsidR="00EF701A" w:rsidRDefault="00BA3795">
      <w:pPr>
        <w:pStyle w:val="NormalWeb"/>
        <w:divId w:val="1085611420"/>
      </w:pPr>
      <w:r>
        <w:t xml:space="preserve">Të dhënat e buxhetit total për bashkinë Roskovec tregojnë ndryshueshmëri në financat e viteve të fundit. </w:t>
      </w:r>
      <w:r>
        <w:rPr>
          <w:rStyle w:val="Strong"/>
          <w:rFonts w:eastAsiaTheme="majorEastAsia"/>
        </w:rPr>
        <w:t>Në vitin 2021</w:t>
      </w:r>
      <w:r>
        <w:t xml:space="preserve">, buxheti total ishte </w:t>
      </w:r>
      <w:r>
        <w:rPr>
          <w:rStyle w:val="Strong"/>
          <w:rFonts w:eastAsiaTheme="majorEastAsia"/>
        </w:rPr>
        <w:t>635,574</w:t>
      </w:r>
      <w:r>
        <w:t xml:space="preserve">, që është edhe vlera më e lartë për periudhën e dhënë. Në </w:t>
      </w:r>
      <w:r>
        <w:rPr>
          <w:rStyle w:val="Strong"/>
          <w:rFonts w:eastAsiaTheme="majorEastAsia"/>
        </w:rPr>
        <w:t>vitin 2022</w:t>
      </w:r>
      <w:r>
        <w:t xml:space="preserve">, pati një ulje të dukshme të buxhetit në </w:t>
      </w:r>
      <w:r>
        <w:rPr>
          <w:rStyle w:val="Strong"/>
          <w:rFonts w:eastAsiaTheme="majorEastAsia"/>
        </w:rPr>
        <w:t>457,879</w:t>
      </w:r>
      <w:r>
        <w:t xml:space="preserve">, duke treguar ndoshta një politikë shtrënguese financiare ose reduktim të fondeve të disponueshme. </w:t>
      </w:r>
      <w:r>
        <w:rPr>
          <w:rStyle w:val="Strong"/>
          <w:rFonts w:eastAsiaTheme="majorEastAsia"/>
        </w:rPr>
        <w:t>Viti 2023</w:t>
      </w:r>
      <w:r>
        <w:t xml:space="preserve"> përshkruhet me një buxhet prej </w:t>
      </w:r>
      <w:r>
        <w:rPr>
          <w:rStyle w:val="Strong"/>
          <w:rFonts w:eastAsiaTheme="majorEastAsia"/>
        </w:rPr>
        <w:t>395,155</w:t>
      </w:r>
      <w:r>
        <w:t xml:space="preserve">, që vijon me uljen nga viti i mëparshëm. Në </w:t>
      </w:r>
      <w:r>
        <w:rPr>
          <w:rStyle w:val="Strong"/>
          <w:rFonts w:eastAsiaTheme="majorEastAsia"/>
        </w:rPr>
        <w:t>vitin 2024</w:t>
      </w:r>
      <w:r>
        <w:t xml:space="preserve">, buxheti u zvogëlua pak më tej në </w:t>
      </w:r>
      <w:r>
        <w:rPr>
          <w:rStyle w:val="Strong"/>
          <w:rFonts w:eastAsiaTheme="majorEastAsia"/>
        </w:rPr>
        <w:t>396,005</w:t>
      </w:r>
      <w:r>
        <w:t xml:space="preserve">, duke treguar përsëri stabilitet të përkufizuar nga uljet e mëparshme. Më pas, një rritje e lehtë në </w:t>
      </w:r>
      <w:r>
        <w:rPr>
          <w:rStyle w:val="Strong"/>
          <w:rFonts w:eastAsiaTheme="majorEastAsia"/>
        </w:rPr>
        <w:t>vitin 2025</w:t>
      </w:r>
      <w:r>
        <w:t xml:space="preserve">, ku buxheti arrin vlerën </w:t>
      </w:r>
      <w:r>
        <w:rPr>
          <w:rStyle w:val="Strong"/>
          <w:rFonts w:eastAsiaTheme="majorEastAsia"/>
        </w:rPr>
        <w:t>495,292</w:t>
      </w:r>
      <w:r>
        <w:t xml:space="preserve">, sugjeron përmirësime të mundshme ekonomike apo rritje të fondeve. </w:t>
      </w:r>
      <w:r>
        <w:rPr>
          <w:rStyle w:val="Strong"/>
          <w:rFonts w:eastAsiaTheme="majorEastAsia"/>
        </w:rPr>
        <w:t>Në vitin 2026</w:t>
      </w:r>
      <w:r>
        <w:t xml:space="preserve">, buxheti reduktohet në </w:t>
      </w:r>
      <w:r>
        <w:rPr>
          <w:rStyle w:val="Strong"/>
          <w:rFonts w:eastAsiaTheme="majorEastAsia"/>
        </w:rPr>
        <w:t>363,559</w:t>
      </w:r>
      <w:r>
        <w:t>, që është vlera më e ulët e gjithë periudhës. Trendi i variacioneve duket të jetë i lidhur me faktorë ekonomikë lokalë ose prioritete të ndryshme qeveritare. Këto ndryshime në buxhet pasqyrojnë sfida të mundshme në menaxhimin e financave publike të bashkisë. Analiza e këtyre të dhënave është e rëndësishme për planifikimin strategjik dhe vendim-marrjen në të ardhmen. Optimizimi financiar i bashkisë kërkon monitorim të vazhdueshëm dhe adaptim ndaj nevojave aktuale dhe të ardhshme të komunitetit.</w:t>
      </w:r>
    </w:p>
    <w:p w:rsidR="00EF701A" w:rsidRDefault="00EF701A" w:rsidP="00BA3795"/>
    <w:p w:rsidR="00EF701A" w:rsidRDefault="00BA3795" w:rsidP="00BA3795">
      <w:r>
        <w:rPr>
          <w:noProof/>
        </w:rPr>
        <w:lastRenderedPageBreak/>
        <w:drawing>
          <wp:inline distT="0" distB="0" distL="0" distR="0" wp14:anchorId="42BD7CE8" wp14:editId="7A6DBAC0">
            <wp:extent cx="5486400" cy="3200400"/>
            <wp:effectExtent l="0" t="0" r="0" b="0"/>
            <wp:docPr id="342050515" name="Chart 342050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EF701A" w:rsidRDefault="00EF701A" w:rsidP="00BA3795"/>
    <w:p w:rsidR="002A5238" w:rsidRPr="002A5238" w:rsidRDefault="002A5238" w:rsidP="000708F2">
      <w:pPr>
        <w:pStyle w:val="Style2"/>
      </w:pPr>
      <w:r w:rsidRPr="002A5238">
        <w:t>Treguesit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754"/>
        <w:gridCol w:w="985"/>
        <w:gridCol w:w="985"/>
        <w:gridCol w:w="907"/>
        <w:gridCol w:w="985"/>
        <w:gridCol w:w="985"/>
        <w:gridCol w:w="975"/>
      </w:tblGrid>
      <w:tr w:rsidR="00BA3795" w:rsidTr="00BA3795">
        <w:trPr>
          <w:trHeight w:val="449"/>
          <w:jc w:val="center"/>
        </w:trPr>
        <w:tc>
          <w:tcPr>
            <w:tcW w:w="0" w:type="auto"/>
            <w:shd w:val="clear" w:color="auto" w:fill="D9E1F2"/>
            <w:vAlign w:val="center"/>
          </w:tcPr>
          <w:p w:rsidR="002A5238" w:rsidRDefault="00BA3795" w:rsidP="002A5238">
            <w:pPr>
              <w:spacing w:after="0" w:line="200" w:lineRule="auto"/>
              <w:jc w:val="left"/>
            </w:pPr>
            <w:bookmarkStart w:id="63" w:name="buxheti_tregues"/>
            <w:bookmarkEnd w:id="63"/>
            <w:r>
              <w:rPr>
                <w:b/>
              </w:rPr>
              <w:t>Indikatori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Buxheti për frymë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19.67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14.08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15.8</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12.12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15.15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11.12</w:t>
            </w:r>
          </w:p>
        </w:tc>
      </w:tr>
    </w:tbl>
    <w:p w:rsidR="002A5238" w:rsidRDefault="002A5238" w:rsidP="002A5238">
      <w:pPr>
        <w:rPr>
          <w:lang w:val="nl-BE"/>
        </w:rPr>
      </w:pPr>
    </w:p>
    <w:p w:rsidR="00FE15F0" w:rsidRDefault="00FE15F0" w:rsidP="002A5238">
      <w:pPr>
        <w:rPr>
          <w:lang w:val="nl-BE"/>
        </w:rPr>
      </w:pPr>
      <w:bookmarkStart w:id="64" w:name="treguesitBuxheti_grafik"/>
      <w:bookmarkEnd w:id="64"/>
    </w:p>
    <w:p w:rsidR="00EF701A" w:rsidRDefault="00EF701A"/>
    <w:p w:rsidR="00C06E6F" w:rsidRDefault="00C06E6F"/>
    <w:p w:rsidR="00C06E6F" w:rsidRDefault="00C06E6F"/>
    <w:p w:rsidR="00C06E6F" w:rsidRDefault="00C06E6F"/>
    <w:p w:rsidR="00C06E6F" w:rsidRDefault="00C06E6F"/>
    <w:p w:rsidR="00C06E6F" w:rsidRDefault="00C06E6F"/>
    <w:p w:rsidR="00C06E6F" w:rsidRDefault="00C06E6F"/>
    <w:p w:rsidR="00C06E6F" w:rsidRDefault="00C06E6F"/>
    <w:p w:rsidR="00EF701A" w:rsidRDefault="00BA3795" w:rsidP="00BA3795">
      <w:pPr>
        <w:pStyle w:val="indicatorNameStyle"/>
        <w:numPr>
          <w:ilvl w:val="0"/>
          <w:numId w:val="3"/>
        </w:numPr>
      </w:pPr>
      <w:r>
        <w:t>Buxheti për frymë (në lekë)</w:t>
      </w:r>
    </w:p>
    <w:p w:rsidR="00EF701A" w:rsidRDefault="00BA3795">
      <w:pPr>
        <w:pStyle w:val="NormalWeb"/>
        <w:divId w:val="1793478877"/>
      </w:pPr>
      <w:r>
        <w:lastRenderedPageBreak/>
        <w:t xml:space="preserve">Te dhënat për Bashkinë Roskovec tregojnë një variacion të vlerave gjatë viteve 2021 deri 2026. Në vitin </w:t>
      </w:r>
      <w:r>
        <w:rPr>
          <w:rStyle w:val="Strong"/>
          <w:rFonts w:eastAsiaTheme="majorEastAsia"/>
        </w:rPr>
        <w:t>2021</w:t>
      </w:r>
      <w:r>
        <w:t xml:space="preserve">, vlera ishte </w:t>
      </w:r>
      <w:r>
        <w:rPr>
          <w:rStyle w:val="Strong"/>
          <w:rFonts w:eastAsiaTheme="majorEastAsia"/>
        </w:rPr>
        <w:t>19.67</w:t>
      </w:r>
      <w:r>
        <w:t xml:space="preserve">, duke sinjalizuar nivelin më të lartë gjatë kësaj periudhe. Viti </w:t>
      </w:r>
      <w:r>
        <w:rPr>
          <w:rStyle w:val="Strong"/>
          <w:rFonts w:eastAsiaTheme="majorEastAsia"/>
        </w:rPr>
        <w:t>2022</w:t>
      </w:r>
      <w:r>
        <w:t xml:space="preserve"> tregoi një ulje të rëndësishme në </w:t>
      </w:r>
      <w:r>
        <w:rPr>
          <w:rStyle w:val="Strong"/>
          <w:rFonts w:eastAsiaTheme="majorEastAsia"/>
        </w:rPr>
        <w:t>14.08</w:t>
      </w:r>
      <w:r>
        <w:t xml:space="preserve">. Në </w:t>
      </w:r>
      <w:r>
        <w:rPr>
          <w:rStyle w:val="Strong"/>
          <w:rFonts w:eastAsiaTheme="majorEastAsia"/>
        </w:rPr>
        <w:t>2023</w:t>
      </w:r>
      <w:r>
        <w:t xml:space="preserve">, vlera pa një rritje të lehtë, duke arritur në </w:t>
      </w:r>
      <w:r>
        <w:rPr>
          <w:rStyle w:val="Strong"/>
          <w:rFonts w:eastAsiaTheme="majorEastAsia"/>
        </w:rPr>
        <w:t>15.8</w:t>
      </w:r>
      <w:r>
        <w:t xml:space="preserve">. Viti </w:t>
      </w:r>
      <w:r>
        <w:rPr>
          <w:rStyle w:val="Strong"/>
          <w:rFonts w:eastAsiaTheme="majorEastAsia"/>
        </w:rPr>
        <w:t>2024</w:t>
      </w:r>
      <w:r>
        <w:t xml:space="preserve"> shënoi një ulje të konsiderueshme me një vlerë prej </w:t>
      </w:r>
      <w:r>
        <w:rPr>
          <w:rStyle w:val="Strong"/>
          <w:rFonts w:eastAsiaTheme="majorEastAsia"/>
        </w:rPr>
        <w:t>12.12</w:t>
      </w:r>
      <w:r>
        <w:t xml:space="preserve">. Në </w:t>
      </w:r>
      <w:r>
        <w:rPr>
          <w:rStyle w:val="Strong"/>
          <w:rFonts w:eastAsiaTheme="majorEastAsia"/>
        </w:rPr>
        <w:t>2025</w:t>
      </w:r>
      <w:r>
        <w:t xml:space="preserve">, tendenca parë përsëri një rritje të vogël në </w:t>
      </w:r>
      <w:r>
        <w:rPr>
          <w:rStyle w:val="Strong"/>
          <w:rFonts w:eastAsiaTheme="majorEastAsia"/>
        </w:rPr>
        <w:t>15.15</w:t>
      </w:r>
      <w:r>
        <w:t xml:space="preserve">. Vlera për </w:t>
      </w:r>
      <w:r>
        <w:rPr>
          <w:rStyle w:val="Strong"/>
          <w:rFonts w:eastAsiaTheme="majorEastAsia"/>
        </w:rPr>
        <w:t>2026</w:t>
      </w:r>
      <w:r>
        <w:t xml:space="preserve"> ra më tej në </w:t>
      </w:r>
      <w:r>
        <w:rPr>
          <w:rStyle w:val="Strong"/>
          <w:rFonts w:eastAsiaTheme="majorEastAsia"/>
        </w:rPr>
        <w:t>11.12</w:t>
      </w:r>
      <w:r>
        <w:t>, që është më e ulëta në këtë periudhë. Ky luhatje tregon paqëndrueshmëri mesatarisht nga një vit në tjetrin. Su lëvizjet e vlerave mund të reflektojnë ndryshimet socio-ekonomike ose demografike në zonë. Këto ndryshime theksojnë nevojën për një analizë më të thellë për të kuptuar faktorët ndikues. Politikëbërësit duhet të konsiderojnë masat e duhura për të adresuar këto ndryshime.</w:t>
      </w:r>
    </w:p>
    <w:p w:rsidR="00EF701A" w:rsidRDefault="00EF701A" w:rsidP="00BA3795"/>
    <w:p w:rsidR="00EF701A" w:rsidRDefault="00BA3795">
      <w:r>
        <w:rPr>
          <w:noProof/>
        </w:rPr>
        <w:drawing>
          <wp:inline distT="0" distB="0" distL="0" distR="0" wp14:anchorId="5EA25C39" wp14:editId="15B8D5F2">
            <wp:extent cx="5486400" cy="3200400"/>
            <wp:effectExtent l="0" t="0" r="0" b="0"/>
            <wp:docPr id="54261964" name="Chart 542619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EF701A" w:rsidRDefault="00EF701A" w:rsidP="00BA3795"/>
    <w:p w:rsidR="00EF701A" w:rsidRDefault="00EF701A" w:rsidP="00BA3795"/>
    <w:p w:rsidR="00EF701A" w:rsidRDefault="00EF701A" w:rsidP="00BA3795"/>
    <w:p w:rsidR="002A5238" w:rsidRPr="002A5238" w:rsidRDefault="002A5238" w:rsidP="00537DAF">
      <w:pPr>
        <w:rPr>
          <w:lang w:val="nl-BE"/>
        </w:rPr>
      </w:pPr>
      <w:r>
        <w:rPr>
          <w:lang w:val="nl-BE"/>
        </w:rPr>
        <w:br w:type="page"/>
      </w:r>
    </w:p>
    <w:p w:rsidR="008E6EFE" w:rsidRDefault="008E6EFE" w:rsidP="008E6EFE">
      <w:pPr>
        <w:pStyle w:val="Style1"/>
      </w:pPr>
      <w:bookmarkStart w:id="65" w:name="_Toc210053368"/>
      <w:r>
        <w:lastRenderedPageBreak/>
        <w:t>Shpenzime</w:t>
      </w:r>
      <w:bookmarkEnd w:id="65"/>
    </w:p>
    <w:p w:rsidR="00BC38D8" w:rsidRDefault="00BC38D8" w:rsidP="00BC38D8">
      <w:pPr>
        <w:rPr>
          <w:rFonts w:cs="Times New Roman"/>
          <w:lang w:val="nl-BE"/>
        </w:rPr>
      </w:pPr>
      <w:r w:rsidRPr="007C63B6">
        <w:rPr>
          <w:rFonts w:cs="Times New Roman"/>
          <w:lang w:val="nl-BE"/>
        </w:rPr>
        <w:t xml:space="preserve">Kjo fushë analizon strukturën dhe efikasitetin e shpenzimeve publike të bashkive për të përmbushur funksionet e tyre ligjore. Ajo vlerëson nëse fondet shpenzohen në mënyrë të efektshme dhe transparente. Bashkitë janë përgjegjëse për planifikimin dhe realizimin e shpenzimeve publike vendore, në përputhje me </w:t>
      </w:r>
      <w:r w:rsidRPr="007C63B6">
        <w:rPr>
          <w:rFonts w:cs="Times New Roman"/>
          <w:b/>
          <w:bCs/>
          <w:lang w:val="nl-BE"/>
        </w:rPr>
        <w:t>nenin 12 dhe 13 të Ligjit nr. 68/2017</w:t>
      </w:r>
      <w:r w:rsidRPr="007C63B6">
        <w:rPr>
          <w:rFonts w:cs="Times New Roman"/>
          <w:lang w:val="nl-BE"/>
        </w:rPr>
        <w:t xml:space="preserve"> dhe aktet nënligjore përkatëse.</w:t>
      </w:r>
    </w:p>
    <w:p w:rsidR="002A5238" w:rsidRPr="00434583" w:rsidRDefault="002A5238" w:rsidP="000708F2">
      <w:pPr>
        <w:pStyle w:val="Style2"/>
      </w:pPr>
      <w:r w:rsidRPr="00434583">
        <w:t>Të dhënat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3720"/>
        <w:gridCol w:w="936"/>
        <w:gridCol w:w="936"/>
        <w:gridCol w:w="996"/>
        <w:gridCol w:w="996"/>
        <w:gridCol w:w="996"/>
        <w:gridCol w:w="996"/>
      </w:tblGrid>
      <w:tr w:rsidR="00BA3795" w:rsidTr="00BA3795">
        <w:trPr>
          <w:trHeight w:val="449"/>
          <w:jc w:val="center"/>
        </w:trPr>
        <w:tc>
          <w:tcPr>
            <w:tcW w:w="0" w:type="auto"/>
            <w:shd w:val="clear" w:color="auto" w:fill="D9E1F2"/>
            <w:vAlign w:val="center"/>
          </w:tcPr>
          <w:p w:rsidR="002A5238" w:rsidRDefault="00BA3795" w:rsidP="002A5238">
            <w:pPr>
              <w:spacing w:after="0" w:line="200" w:lineRule="auto"/>
              <w:jc w:val="left"/>
            </w:pPr>
            <w:bookmarkStart w:id="66" w:name="shpenzime_tedhena"/>
            <w:bookmarkEnd w:id="66"/>
            <w:r>
              <w:rPr>
                <w:b/>
              </w:rPr>
              <w:t>Emri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48332E" w:rsidRPr="0048332E" w:rsidTr="006A7EFD">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Investime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371250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382657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445835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351329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48332E" w:rsidRPr="0048332E" w:rsidRDefault="0048332E" w:rsidP="00E2307F">
            <w:r w:rsidRPr="0048332E">
              <w:t>287,230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rsidR="0048332E" w:rsidRPr="0048332E" w:rsidRDefault="0048332E" w:rsidP="00E2307F">
            <w:r w:rsidRPr="0048332E">
              <w:t>287,230</w:t>
            </w:r>
          </w:p>
        </w:tc>
      </w:tr>
      <w:tr w:rsidR="0048332E" w:rsidRPr="0048332E"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Kosto personeli ne buxhet(vlera e pagave dhe sigurimeve, honorare)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188722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185469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234,245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275,817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347,169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347,228</w:t>
            </w:r>
          </w:p>
        </w:tc>
      </w:tr>
      <w:tr w:rsidR="0048332E" w:rsidRPr="0048332E"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Shpenzime operacionale</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84235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Default="0048332E">
            <w:pPr>
              <w:spacing w:after="0" w:line="240" w:lineRule="auto"/>
            </w:pPr>
            <w:r>
              <w:t>71041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70,873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98,056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136,086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8332E" w:rsidRPr="0048332E" w:rsidRDefault="0048332E" w:rsidP="00E2307F">
            <w:pPr>
              <w:spacing w:after="0" w:line="240" w:lineRule="auto"/>
            </w:pPr>
            <w:r w:rsidRPr="0048332E">
              <w:t>94,972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Detyrime ndaj te treteve te papaguara</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443184">
            <w:pPr>
              <w:spacing w:after="0" w:line="240" w:lineRule="auto"/>
            </w:pP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10526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r>
    </w:tbl>
    <w:p w:rsidR="002A5238" w:rsidRDefault="002A5238" w:rsidP="002A5238">
      <w:pPr>
        <w:rPr>
          <w:lang w:val="nl-BE"/>
        </w:rPr>
      </w:pPr>
    </w:p>
    <w:p w:rsidR="00FE15F0" w:rsidRDefault="00FE15F0" w:rsidP="002A5238">
      <w:pPr>
        <w:rPr>
          <w:lang w:val="nl-BE"/>
        </w:rPr>
      </w:pPr>
      <w:bookmarkStart w:id="67" w:name="shpenzimeData_grafik"/>
      <w:bookmarkEnd w:id="67"/>
    </w:p>
    <w:p w:rsidR="00EF701A" w:rsidRDefault="00EF701A"/>
    <w:p w:rsidR="00EF701A" w:rsidRDefault="00BA3795" w:rsidP="00C06E6F">
      <w:pPr>
        <w:pStyle w:val="dataNameStyle"/>
      </w:pPr>
      <w:r>
        <w:t>Investime</w:t>
      </w:r>
    </w:p>
    <w:p w:rsidR="0048332E" w:rsidRPr="0048332E" w:rsidRDefault="0048332E" w:rsidP="0048332E">
      <w:pPr>
        <w:pStyle w:val="dataNameStyle"/>
        <w:numPr>
          <w:ilvl w:val="0"/>
          <w:numId w:val="0"/>
        </w:numPr>
        <w:ind w:left="720"/>
        <w:rPr>
          <w:i w:val="0"/>
          <w:color w:val="auto"/>
        </w:rPr>
      </w:pPr>
      <w:r w:rsidRPr="0048332E">
        <w:rPr>
          <w:i w:val="0"/>
          <w:color w:val="auto"/>
        </w:rPr>
        <w:t xml:space="preserve">Të dhënat e investimeve për Bashkinë Roskovec tregojnë një dinamikë interesante ndër vite. Në vitin </w:t>
      </w:r>
      <w:r w:rsidRPr="0048332E">
        <w:rPr>
          <w:rStyle w:val="Strong"/>
          <w:i w:val="0"/>
          <w:color w:val="auto"/>
        </w:rPr>
        <w:t>2021</w:t>
      </w:r>
      <w:r w:rsidRPr="0048332E">
        <w:rPr>
          <w:i w:val="0"/>
          <w:color w:val="auto"/>
        </w:rPr>
        <w:t xml:space="preserve">, investimet arritën në </w:t>
      </w:r>
      <w:r w:rsidRPr="0048332E">
        <w:rPr>
          <w:rStyle w:val="Strong"/>
          <w:i w:val="0"/>
          <w:color w:val="auto"/>
        </w:rPr>
        <w:t>371,250</w:t>
      </w:r>
      <w:r w:rsidRPr="0048332E">
        <w:rPr>
          <w:i w:val="0"/>
          <w:color w:val="auto"/>
        </w:rPr>
        <w:t xml:space="preserve">, ndërsa në vitin pasues, </w:t>
      </w:r>
      <w:r w:rsidRPr="0048332E">
        <w:rPr>
          <w:rStyle w:val="Strong"/>
          <w:i w:val="0"/>
          <w:color w:val="auto"/>
        </w:rPr>
        <w:t>2022</w:t>
      </w:r>
      <w:r w:rsidRPr="0048332E">
        <w:rPr>
          <w:i w:val="0"/>
          <w:color w:val="auto"/>
        </w:rPr>
        <w:t xml:space="preserve">, ka një rritje të lehtë në </w:t>
      </w:r>
      <w:r w:rsidRPr="0048332E">
        <w:rPr>
          <w:rStyle w:val="Strong"/>
          <w:i w:val="0"/>
          <w:color w:val="auto"/>
        </w:rPr>
        <w:t>382,657</w:t>
      </w:r>
      <w:r w:rsidRPr="0048332E">
        <w:rPr>
          <w:i w:val="0"/>
          <w:color w:val="auto"/>
        </w:rPr>
        <w:t xml:space="preserve">. Viti </w:t>
      </w:r>
      <w:r w:rsidRPr="0048332E">
        <w:rPr>
          <w:rStyle w:val="Strong"/>
          <w:i w:val="0"/>
          <w:color w:val="auto"/>
        </w:rPr>
        <w:t>2023</w:t>
      </w:r>
      <w:r w:rsidRPr="0048332E">
        <w:rPr>
          <w:i w:val="0"/>
          <w:color w:val="auto"/>
        </w:rPr>
        <w:t xml:space="preserve"> paraqet nivelin më të lartë me </w:t>
      </w:r>
      <w:r w:rsidRPr="0048332E">
        <w:rPr>
          <w:rStyle w:val="Strong"/>
          <w:i w:val="0"/>
          <w:color w:val="auto"/>
        </w:rPr>
        <w:t>445,835</w:t>
      </w:r>
      <w:r w:rsidRPr="0048332E">
        <w:rPr>
          <w:i w:val="0"/>
          <w:color w:val="auto"/>
        </w:rPr>
        <w:t xml:space="preserve">, duke sugjeruar një fokus të konsideruar në projekte të reja ose përmirësime. Megjithatë, në </w:t>
      </w:r>
      <w:r w:rsidRPr="0048332E">
        <w:rPr>
          <w:rStyle w:val="Strong"/>
          <w:i w:val="0"/>
          <w:color w:val="auto"/>
        </w:rPr>
        <w:t>2024</w:t>
      </w:r>
      <w:r w:rsidRPr="0048332E">
        <w:rPr>
          <w:i w:val="0"/>
          <w:color w:val="auto"/>
        </w:rPr>
        <w:t xml:space="preserve">, ka një rënie të investimeve në </w:t>
      </w:r>
      <w:r w:rsidRPr="0048332E">
        <w:rPr>
          <w:rStyle w:val="Strong"/>
          <w:i w:val="0"/>
          <w:color w:val="auto"/>
        </w:rPr>
        <w:t>351,329</w:t>
      </w:r>
      <w:r w:rsidRPr="0048332E">
        <w:rPr>
          <w:i w:val="0"/>
          <w:color w:val="auto"/>
        </w:rPr>
        <w:t xml:space="preserve">, qëndron më e ulët se vitet e mëparshme. Kjo tendencë e uljes vazhdon edhe në </w:t>
      </w:r>
      <w:r w:rsidRPr="0048332E">
        <w:rPr>
          <w:rStyle w:val="Strong"/>
          <w:i w:val="0"/>
          <w:color w:val="auto"/>
        </w:rPr>
        <w:t>2025</w:t>
      </w:r>
      <w:r w:rsidRPr="0048332E">
        <w:rPr>
          <w:i w:val="0"/>
          <w:color w:val="auto"/>
        </w:rPr>
        <w:t xml:space="preserve">, ku investimet janë vetëm </w:t>
      </w:r>
      <w:r w:rsidRPr="0048332E">
        <w:rPr>
          <w:rStyle w:val="Strong"/>
          <w:i w:val="0"/>
          <w:color w:val="auto"/>
        </w:rPr>
        <w:t>287,230</w:t>
      </w:r>
      <w:r w:rsidRPr="0048332E">
        <w:rPr>
          <w:i w:val="0"/>
          <w:color w:val="auto"/>
        </w:rPr>
        <w:t xml:space="preserve">, ndoshta për shkak të përfundimit të disa projekteve të mëdha ose ndërrimit të prioriteteve. Në vitin </w:t>
      </w:r>
      <w:r w:rsidRPr="0048332E">
        <w:rPr>
          <w:rStyle w:val="Strong"/>
          <w:i w:val="0"/>
          <w:color w:val="auto"/>
        </w:rPr>
        <w:t>2026</w:t>
      </w:r>
      <w:r w:rsidRPr="0048332E">
        <w:rPr>
          <w:i w:val="0"/>
          <w:color w:val="auto"/>
        </w:rPr>
        <w:t xml:space="preserve">, vihet re e njëjta tendence ulje si në 2025 në vlerën </w:t>
      </w:r>
      <w:r w:rsidRPr="0048332E">
        <w:rPr>
          <w:b/>
          <w:i w:val="0"/>
          <w:color w:val="auto"/>
        </w:rPr>
        <w:t>287,230</w:t>
      </w:r>
      <w:r w:rsidRPr="0048332E">
        <w:rPr>
          <w:i w:val="0"/>
          <w:color w:val="auto"/>
        </w:rPr>
        <w:t xml:space="preserve">. Këto të dhëna mund të pasqyrojnë ndryshime në politikat lokale ose përgjigje ndaj nevojave të komunitetit. Pavarësisht variacioneve, trendi i përgjithshëm tregon angazhim të vazhdueshëm për investime publike. </w:t>
      </w:r>
    </w:p>
    <w:p w:rsidR="00EF701A" w:rsidRDefault="00EF701A" w:rsidP="00BA3795"/>
    <w:p w:rsidR="00EF701A" w:rsidRDefault="00EF701A" w:rsidP="00BA3795">
      <w:pPr>
        <w:rPr>
          <w:noProof/>
        </w:rPr>
      </w:pPr>
    </w:p>
    <w:p w:rsidR="00724370" w:rsidRDefault="00724370" w:rsidP="00BA3795">
      <w:pPr>
        <w:rPr>
          <w:noProof/>
        </w:rPr>
      </w:pPr>
    </w:p>
    <w:p w:rsidR="00724370" w:rsidRDefault="00724370" w:rsidP="00BA3795">
      <w:pPr>
        <w:rPr>
          <w:noProof/>
        </w:rPr>
      </w:pPr>
    </w:p>
    <w:p w:rsidR="00724370" w:rsidRDefault="00724370" w:rsidP="00BA3795">
      <w:pPr>
        <w:rPr>
          <w:noProof/>
        </w:rPr>
      </w:pPr>
    </w:p>
    <w:p w:rsidR="00724370" w:rsidRDefault="00533960" w:rsidP="00BA3795">
      <w:r>
        <w:rPr>
          <w:noProof/>
        </w:rPr>
        <w:drawing>
          <wp:inline distT="0" distB="0" distL="0" distR="0">
            <wp:extent cx="5248275" cy="3219450"/>
            <wp:effectExtent l="0" t="0" r="9525" b="0"/>
            <wp:docPr id="6" name="Picture 6" descr="Screenshot 2025-11-13 1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 2025-11-13 11355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48275" cy="3219450"/>
                    </a:xfrm>
                    <a:prstGeom prst="rect">
                      <a:avLst/>
                    </a:prstGeom>
                    <a:noFill/>
                    <a:ln>
                      <a:noFill/>
                    </a:ln>
                  </pic:spPr>
                </pic:pic>
              </a:graphicData>
            </a:graphic>
          </wp:inline>
        </w:drawing>
      </w:r>
    </w:p>
    <w:p w:rsidR="00EF701A" w:rsidRDefault="00EF701A" w:rsidP="00BA3795"/>
    <w:p w:rsidR="00EF701A" w:rsidRDefault="00EF701A"/>
    <w:p w:rsidR="00EF701A" w:rsidRDefault="00BA3795" w:rsidP="00C06E6F">
      <w:pPr>
        <w:pStyle w:val="dataNameStyle"/>
      </w:pPr>
      <w:r>
        <w:t>Kosto personeli ne buxhet(vlera e pagave dhe sigurimeve, honorare)</w:t>
      </w:r>
    </w:p>
    <w:p w:rsidR="00EF701A" w:rsidRDefault="00BA3795">
      <w:pPr>
        <w:pStyle w:val="NormalWeb"/>
        <w:divId w:val="1029836832"/>
      </w:pPr>
      <w:r>
        <w:t xml:space="preserve">Të dhënat e bashkisë Roskovec për koston e personelit në buxhet, që përfshin </w:t>
      </w:r>
      <w:r>
        <w:rPr>
          <w:rStyle w:val="Strong"/>
          <w:rFonts w:eastAsiaTheme="majorEastAsia"/>
        </w:rPr>
        <w:t>pagat, sigurimet dhe honoraret</w:t>
      </w:r>
      <w:r>
        <w:t xml:space="preserve">, tregojnë një variacion të lehtë gjatë viteve 2021-2026. Në vitin </w:t>
      </w:r>
      <w:r>
        <w:rPr>
          <w:rStyle w:val="Strong"/>
          <w:rFonts w:eastAsiaTheme="majorEastAsia"/>
        </w:rPr>
        <w:t>2021</w:t>
      </w:r>
      <w:r>
        <w:t xml:space="preserve">, kostoja e personelit ishte </w:t>
      </w:r>
      <w:r>
        <w:rPr>
          <w:rStyle w:val="Strong"/>
          <w:rFonts w:eastAsiaTheme="majorEastAsia"/>
        </w:rPr>
        <w:t>188,722</w:t>
      </w:r>
      <w:r>
        <w:t xml:space="preserve">. Vitin pasues, </w:t>
      </w:r>
      <w:r>
        <w:rPr>
          <w:rStyle w:val="Strong"/>
          <w:rFonts w:eastAsiaTheme="majorEastAsia"/>
        </w:rPr>
        <w:t>2022</w:t>
      </w:r>
      <w:r>
        <w:t xml:space="preserve">, kjo vlerë ra në </w:t>
      </w:r>
      <w:r>
        <w:rPr>
          <w:rStyle w:val="Strong"/>
          <w:rFonts w:eastAsiaTheme="majorEastAsia"/>
        </w:rPr>
        <w:t>185,469</w:t>
      </w:r>
      <w:r>
        <w:t xml:space="preserve">, duke treguar një ulje të lehtë. Një rritje e dukshme u vu re në vitin </w:t>
      </w:r>
      <w:r>
        <w:rPr>
          <w:rStyle w:val="Strong"/>
          <w:rFonts w:eastAsiaTheme="majorEastAsia"/>
        </w:rPr>
        <w:t>2023</w:t>
      </w:r>
      <w:r>
        <w:t xml:space="preserve">, kur kostoja u rrit në </w:t>
      </w:r>
      <w:r>
        <w:rPr>
          <w:rStyle w:val="Strong"/>
          <w:rFonts w:eastAsiaTheme="majorEastAsia"/>
        </w:rPr>
        <w:t>209,326</w:t>
      </w:r>
      <w:r>
        <w:t xml:space="preserve">. Në </w:t>
      </w:r>
      <w:r>
        <w:rPr>
          <w:rStyle w:val="Strong"/>
          <w:rFonts w:eastAsiaTheme="majorEastAsia"/>
        </w:rPr>
        <w:t>2024</w:t>
      </w:r>
      <w:r>
        <w:t xml:space="preserve">, kostoja e personelit shënoi pikën më të lartë me </w:t>
      </w:r>
      <w:r>
        <w:rPr>
          <w:rStyle w:val="Strong"/>
          <w:rFonts w:eastAsiaTheme="majorEastAsia"/>
        </w:rPr>
        <w:t>212,250</w:t>
      </w:r>
      <w:r>
        <w:t xml:space="preserve">. Për periudhën </w:t>
      </w:r>
      <w:r>
        <w:rPr>
          <w:rStyle w:val="Strong"/>
          <w:rFonts w:eastAsiaTheme="majorEastAsia"/>
        </w:rPr>
        <w:t>2025-2026</w:t>
      </w:r>
      <w:r>
        <w:t xml:space="preserve">, vlera e kostos mbeti e qëndrueshme në </w:t>
      </w:r>
      <w:r>
        <w:rPr>
          <w:rStyle w:val="Strong"/>
          <w:rFonts w:eastAsiaTheme="majorEastAsia"/>
        </w:rPr>
        <w:t>211,736</w:t>
      </w:r>
      <w:r>
        <w:t>. Kjo stabilitet në vitet e fundit mund të tregojë një qëndrueshmëri financiare ose një politikë të qëndrueshme pagash. Tendenca në rritje nga 2022 deri në 2024 tregon për mundësinë e rritjes së pagave ose të shtimit të personelit. Variacionet në shpenzime tregojnë për një adaptim të politikave të burimeve njerëzore në bashki. Analiza e këtyre të dhënave është thelbësore për të planifikuar buxhetin dhe për t'u përballur me kërkesat financiare në të ardhmen.</w:t>
      </w:r>
    </w:p>
    <w:p w:rsidR="00EF701A" w:rsidRDefault="00EF701A" w:rsidP="00BA3795"/>
    <w:p w:rsidR="00EF701A" w:rsidRDefault="00BA3795" w:rsidP="00BA3795">
      <w:r>
        <w:rPr>
          <w:noProof/>
        </w:rPr>
        <w:lastRenderedPageBreak/>
        <w:drawing>
          <wp:inline distT="0" distB="0" distL="0" distR="0" wp14:anchorId="06913D03" wp14:editId="0CDE5770">
            <wp:extent cx="5486400" cy="3200400"/>
            <wp:effectExtent l="0" t="0" r="0" b="0"/>
            <wp:docPr id="917608531" name="Chart 917608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EF701A" w:rsidRDefault="00EF701A" w:rsidP="00BA3795"/>
    <w:p w:rsidR="00443184" w:rsidRDefault="00443184"/>
    <w:p w:rsidR="00443184" w:rsidRDefault="00443184"/>
    <w:p w:rsidR="002A5238" w:rsidRPr="002A5238" w:rsidRDefault="002A5238" w:rsidP="000708F2">
      <w:pPr>
        <w:pStyle w:val="Style2"/>
      </w:pPr>
      <w:r w:rsidRPr="002A5238">
        <w:t>Treguesit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000" w:firstRow="0" w:lastRow="0" w:firstColumn="0" w:lastColumn="0" w:noHBand="0" w:noVBand="0"/>
      </w:tblPr>
      <w:tblGrid>
        <w:gridCol w:w="5116"/>
        <w:gridCol w:w="748"/>
        <w:gridCol w:w="748"/>
        <w:gridCol w:w="756"/>
        <w:gridCol w:w="756"/>
        <w:gridCol w:w="696"/>
        <w:gridCol w:w="756"/>
      </w:tblGrid>
      <w:tr w:rsidR="00BA3795" w:rsidTr="00BA3795">
        <w:trPr>
          <w:trHeight w:val="449"/>
          <w:jc w:val="center"/>
        </w:trPr>
        <w:tc>
          <w:tcPr>
            <w:tcW w:w="0" w:type="auto"/>
            <w:shd w:val="clear" w:color="auto" w:fill="D9E1F2"/>
            <w:vAlign w:val="center"/>
          </w:tcPr>
          <w:p w:rsidR="002A5238" w:rsidRDefault="00BA3795" w:rsidP="002A5238">
            <w:pPr>
              <w:spacing w:after="0" w:line="200" w:lineRule="auto"/>
              <w:jc w:val="left"/>
            </w:pPr>
            <w:bookmarkStart w:id="68" w:name="shpenzime_tregues"/>
            <w:bookmarkEnd w:id="68"/>
            <w:r>
              <w:rPr>
                <w:b/>
              </w:rPr>
              <w:t>Indikatori</w:t>
            </w:r>
          </w:p>
        </w:tc>
        <w:tc>
          <w:tcPr>
            <w:tcW w:w="0" w:type="auto"/>
            <w:shd w:val="clear" w:color="auto" w:fill="D9E1F2"/>
            <w:vAlign w:val="center"/>
          </w:tcPr>
          <w:p w:rsidR="00443184" w:rsidRDefault="00BA3795">
            <w:pPr>
              <w:spacing w:after="0" w:line="200" w:lineRule="auto"/>
              <w:jc w:val="left"/>
            </w:pPr>
            <w:r>
              <w:rPr>
                <w:b/>
              </w:rPr>
              <w:t>2021</w:t>
            </w:r>
          </w:p>
        </w:tc>
        <w:tc>
          <w:tcPr>
            <w:tcW w:w="0" w:type="auto"/>
            <w:shd w:val="clear" w:color="auto" w:fill="D9E1F2"/>
            <w:vAlign w:val="center"/>
          </w:tcPr>
          <w:p w:rsidR="00443184" w:rsidRDefault="00BA3795">
            <w:pPr>
              <w:spacing w:after="0" w:line="200" w:lineRule="auto"/>
              <w:jc w:val="left"/>
            </w:pPr>
            <w:r>
              <w:rPr>
                <w:b/>
              </w:rPr>
              <w:t>2022</w:t>
            </w:r>
          </w:p>
        </w:tc>
        <w:tc>
          <w:tcPr>
            <w:tcW w:w="0" w:type="auto"/>
            <w:shd w:val="clear" w:color="auto" w:fill="D9E1F2"/>
            <w:vAlign w:val="center"/>
          </w:tcPr>
          <w:p w:rsidR="00443184" w:rsidRDefault="00BA3795">
            <w:pPr>
              <w:spacing w:after="0" w:line="200" w:lineRule="auto"/>
              <w:jc w:val="left"/>
            </w:pPr>
            <w:r>
              <w:rPr>
                <w:b/>
              </w:rPr>
              <w:t>2023</w:t>
            </w:r>
          </w:p>
        </w:tc>
        <w:tc>
          <w:tcPr>
            <w:tcW w:w="0" w:type="auto"/>
            <w:shd w:val="clear" w:color="auto" w:fill="D9E1F2"/>
            <w:vAlign w:val="center"/>
          </w:tcPr>
          <w:p w:rsidR="00443184" w:rsidRDefault="00BA3795">
            <w:pPr>
              <w:spacing w:after="0" w:line="200" w:lineRule="auto"/>
              <w:jc w:val="left"/>
            </w:pPr>
            <w:r>
              <w:rPr>
                <w:b/>
              </w:rPr>
              <w:t>2024</w:t>
            </w:r>
          </w:p>
        </w:tc>
        <w:tc>
          <w:tcPr>
            <w:tcW w:w="0" w:type="auto"/>
            <w:shd w:val="clear" w:color="auto" w:fill="D9E1F2"/>
            <w:vAlign w:val="center"/>
          </w:tcPr>
          <w:p w:rsidR="00443184" w:rsidRDefault="00BA3795">
            <w:pPr>
              <w:spacing w:after="0" w:line="200" w:lineRule="auto"/>
              <w:jc w:val="left"/>
            </w:pPr>
            <w:r>
              <w:rPr>
                <w:b/>
              </w:rPr>
              <w:t>2025</w:t>
            </w:r>
          </w:p>
        </w:tc>
        <w:tc>
          <w:tcPr>
            <w:tcW w:w="0" w:type="auto"/>
            <w:shd w:val="clear" w:color="auto" w:fill="D9E1F2"/>
            <w:vAlign w:val="center"/>
          </w:tcPr>
          <w:p w:rsidR="00443184" w:rsidRDefault="00BA3795">
            <w:pPr>
              <w:spacing w:after="0" w:line="200" w:lineRule="auto"/>
              <w:jc w:val="left"/>
            </w:pPr>
            <w:r>
              <w:rPr>
                <w:b/>
              </w:rPr>
              <w:t>2026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Investime për frymë (në lekë)</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11.49</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11.77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17.82</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10.75</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7.76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13.16</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Pesha e personelit në buxhet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0.41</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0.53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0.54</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0.43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0.58</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Pesha e shpenzimeve operacionale në buxhet</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0.13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0.23</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0.16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0.17</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0.22</w:t>
            </w:r>
          </w:p>
        </w:tc>
      </w:tr>
      <w:tr w:rsidR="00BA3795" w:rsidTr="00BA3795">
        <w:trPr>
          <w:jc w:val="center"/>
        </w:trPr>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Pesha e detyrimeve financiare të papaguara ndaj të tretëve (%)</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2.66</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c>
          <w:tcPr>
            <w:tcW w:w="0" w:type="auto"/>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vAlign w:val="center"/>
          </w:tcPr>
          <w:p w:rsidR="00443184" w:rsidRDefault="00BA3795">
            <w:pPr>
              <w:spacing w:after="0" w:line="240" w:lineRule="auto"/>
            </w:pPr>
            <w:r>
              <w:t>0</w:t>
            </w:r>
          </w:p>
        </w:tc>
      </w:tr>
    </w:tbl>
    <w:p w:rsidR="002A5238" w:rsidRPr="002A5238" w:rsidRDefault="002A5238" w:rsidP="00BC38D8">
      <w:pPr>
        <w:rPr>
          <w:lang w:val="nl-BE"/>
        </w:rPr>
      </w:pPr>
      <w:bookmarkStart w:id="69" w:name="TreguesShpenzime_grafik"/>
      <w:bookmarkEnd w:id="69"/>
    </w:p>
    <w:p w:rsidR="00EF701A" w:rsidRDefault="00EF701A"/>
    <w:p w:rsidR="00C06E6F" w:rsidRDefault="00C06E6F"/>
    <w:p w:rsidR="00C06E6F" w:rsidRDefault="00C06E6F"/>
    <w:p w:rsidR="00C06E6F" w:rsidRDefault="00C06E6F"/>
    <w:p w:rsidR="00C06E6F" w:rsidRDefault="00C06E6F"/>
    <w:p w:rsidR="00EF701A" w:rsidRDefault="00BA3795" w:rsidP="00BA3795">
      <w:pPr>
        <w:pStyle w:val="indicatorNameStyle"/>
        <w:numPr>
          <w:ilvl w:val="0"/>
          <w:numId w:val="3"/>
        </w:numPr>
      </w:pPr>
      <w:r>
        <w:lastRenderedPageBreak/>
        <w:t>Investime për frymë (në lekë)</w:t>
      </w:r>
    </w:p>
    <w:p w:rsidR="00EF701A" w:rsidRDefault="00EF701A" w:rsidP="00BA3795"/>
    <w:p w:rsidR="00EF701A" w:rsidRDefault="00BA3795">
      <w:pPr>
        <w:pStyle w:val="NormalWeb"/>
        <w:divId w:val="557982491"/>
      </w:pPr>
      <w:r>
        <w:t xml:space="preserve">Të dhënat e ofruara për bashkinë Roskovec tregojnë variacionet vjetore të një variabli të rëndësishëm për periudhën nga viti </w:t>
      </w:r>
      <w:r>
        <w:rPr>
          <w:rStyle w:val="Strong"/>
          <w:rFonts w:eastAsiaTheme="majorEastAsia"/>
        </w:rPr>
        <w:t>2021</w:t>
      </w:r>
      <w:r>
        <w:t xml:space="preserve"> deri në </w:t>
      </w:r>
      <w:r>
        <w:rPr>
          <w:rStyle w:val="Strong"/>
          <w:rFonts w:eastAsiaTheme="majorEastAsia"/>
        </w:rPr>
        <w:t>2026</w:t>
      </w:r>
      <w:r>
        <w:t xml:space="preserve">. Në vitin </w:t>
      </w:r>
      <w:r>
        <w:rPr>
          <w:rStyle w:val="Strong"/>
          <w:rFonts w:eastAsiaTheme="majorEastAsia"/>
        </w:rPr>
        <w:t>2021</w:t>
      </w:r>
      <w:r>
        <w:t xml:space="preserve">, vlera e regjistruar ishte </w:t>
      </w:r>
      <w:r>
        <w:rPr>
          <w:rStyle w:val="Strong"/>
          <w:rFonts w:eastAsiaTheme="majorEastAsia"/>
        </w:rPr>
        <w:t>11.49</w:t>
      </w:r>
      <w:r>
        <w:t xml:space="preserve">, duke treguar një nisje të qëndrueshme në këto të dhëna. Në vitin </w:t>
      </w:r>
      <w:r>
        <w:rPr>
          <w:rStyle w:val="Strong"/>
          <w:rFonts w:eastAsiaTheme="majorEastAsia"/>
        </w:rPr>
        <w:t>2022</w:t>
      </w:r>
      <w:r>
        <w:t xml:space="preserve">, ajo pësoi një rritje të lehtë duke arritur në </w:t>
      </w:r>
      <w:r>
        <w:rPr>
          <w:rStyle w:val="Strong"/>
          <w:rFonts w:eastAsiaTheme="majorEastAsia"/>
        </w:rPr>
        <w:t>11.77</w:t>
      </w:r>
      <w:r>
        <w:t xml:space="preserve">. Viti </w:t>
      </w:r>
      <w:r>
        <w:rPr>
          <w:rStyle w:val="Strong"/>
          <w:rFonts w:eastAsiaTheme="majorEastAsia"/>
        </w:rPr>
        <w:t>2023</w:t>
      </w:r>
      <w:r>
        <w:t xml:space="preserve"> shënoi një rritje të konsiderueshme në </w:t>
      </w:r>
      <w:r>
        <w:rPr>
          <w:rStyle w:val="Strong"/>
          <w:rFonts w:eastAsiaTheme="majorEastAsia"/>
        </w:rPr>
        <w:t>17.82</w:t>
      </w:r>
      <w:r>
        <w:t xml:space="preserve">, vlera më e lartë në këtë periudhë kohore. Megjithatë, në vitin </w:t>
      </w:r>
      <w:r>
        <w:rPr>
          <w:rStyle w:val="Strong"/>
          <w:rFonts w:eastAsiaTheme="majorEastAsia"/>
        </w:rPr>
        <w:t>2024</w:t>
      </w:r>
      <w:r>
        <w:t xml:space="preserve">, ndodhi një rënie e theksuar duke zbritur në </w:t>
      </w:r>
      <w:r>
        <w:rPr>
          <w:rStyle w:val="Strong"/>
          <w:rFonts w:eastAsiaTheme="majorEastAsia"/>
        </w:rPr>
        <w:t>10.75</w:t>
      </w:r>
      <w:r>
        <w:t xml:space="preserve">. Kjo rënie vazhdoi në </w:t>
      </w:r>
      <w:r>
        <w:rPr>
          <w:rStyle w:val="Strong"/>
          <w:rFonts w:eastAsiaTheme="majorEastAsia"/>
        </w:rPr>
        <w:t>2025</w:t>
      </w:r>
      <w:r>
        <w:t xml:space="preserve">, kur vlera arriti në </w:t>
      </w:r>
      <w:r>
        <w:rPr>
          <w:rStyle w:val="Strong"/>
          <w:rFonts w:eastAsiaTheme="majorEastAsia"/>
        </w:rPr>
        <w:t>7.76</w:t>
      </w:r>
      <w:r>
        <w:t xml:space="preserve">, pikën më të ulët në këtë interval. Në vitin </w:t>
      </w:r>
      <w:r>
        <w:rPr>
          <w:rStyle w:val="Strong"/>
          <w:rFonts w:eastAsiaTheme="majorEastAsia"/>
        </w:rPr>
        <w:t>2026</w:t>
      </w:r>
      <w:r>
        <w:t xml:space="preserve">, ndodh rikuperimi i pjesshëm i trendit me një rritje në </w:t>
      </w:r>
      <w:r>
        <w:rPr>
          <w:rStyle w:val="Strong"/>
          <w:rFonts w:eastAsiaTheme="majorEastAsia"/>
        </w:rPr>
        <w:t>13.16</w:t>
      </w:r>
      <w:r>
        <w:t>. Këto luhatje sugjerojnë një paqëndrueshmëri të variablit në delikatesë ndaj faktorëve të brendshëm apo të jashtëm të paidentifikuar. Duhet një analizë më e thelluar për të kuptuar arsyet e këtyre variacioneve në periudha të caktuara. Përmirësimi i qasjes dhe përdorimi strategjik i këtyre të dhënave është thelbësor për planifikimin dhe vendimmarrjen në nivel lokal.</w:t>
      </w:r>
    </w:p>
    <w:p w:rsidR="00EF701A" w:rsidRDefault="00EF701A" w:rsidP="00BA3795"/>
    <w:p w:rsidR="00EF701A" w:rsidRDefault="00BA3795">
      <w:r>
        <w:rPr>
          <w:noProof/>
        </w:rPr>
        <w:drawing>
          <wp:inline distT="0" distB="0" distL="0" distR="0" wp14:anchorId="48CD11C5" wp14:editId="7E2F813D">
            <wp:extent cx="5486400" cy="3200400"/>
            <wp:effectExtent l="0" t="0" r="0" b="0"/>
            <wp:docPr id="1097283737" name="Chart 1097283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EF701A" w:rsidRDefault="00EF701A" w:rsidP="00BA3795"/>
    <w:p w:rsidR="00EF701A" w:rsidRDefault="00EF701A" w:rsidP="00BA3795"/>
    <w:p w:rsidR="00EF701A" w:rsidRDefault="00EF701A" w:rsidP="00BA3795"/>
    <w:p w:rsidR="00EF701A" w:rsidRDefault="00EF701A"/>
    <w:p w:rsidR="00EF701A" w:rsidRDefault="00BA3795" w:rsidP="00BA3795">
      <w:pPr>
        <w:pStyle w:val="indicatorNameStyle"/>
        <w:numPr>
          <w:ilvl w:val="0"/>
          <w:numId w:val="3"/>
        </w:numPr>
      </w:pPr>
      <w:r>
        <w:t>Pesha e personelit në buxhet</w:t>
      </w:r>
    </w:p>
    <w:p w:rsidR="00EF701A" w:rsidRDefault="00BA3795">
      <w:pPr>
        <w:pStyle w:val="NormalWeb"/>
        <w:divId w:val="1074668179"/>
      </w:pPr>
      <w:r>
        <w:lastRenderedPageBreak/>
        <w:t xml:space="preserve">Të dhënat e paraqitura për Bashkinë e Roskovecit tregojnë një tendencë në rritje për periudhën kohore 2021-2026. Në vitin </w:t>
      </w:r>
      <w:r>
        <w:rPr>
          <w:rStyle w:val="Strong"/>
          <w:rFonts w:eastAsiaTheme="majorEastAsia"/>
        </w:rPr>
        <w:t>2021</w:t>
      </w:r>
      <w:r>
        <w:t xml:space="preserve">, vlera fillon me </w:t>
      </w:r>
      <w:r>
        <w:rPr>
          <w:rStyle w:val="Strong"/>
          <w:rFonts w:eastAsiaTheme="majorEastAsia"/>
        </w:rPr>
        <w:t>0.3</w:t>
      </w:r>
      <w:r>
        <w:t xml:space="preserve">, duke përfaqësuar një pikënisje të ulët. Kjo rritet në </w:t>
      </w:r>
      <w:r>
        <w:rPr>
          <w:rStyle w:val="Strong"/>
          <w:rFonts w:eastAsiaTheme="majorEastAsia"/>
        </w:rPr>
        <w:t>0.41</w:t>
      </w:r>
      <w:r>
        <w:t xml:space="preserve"> në </w:t>
      </w:r>
      <w:r>
        <w:rPr>
          <w:rStyle w:val="Strong"/>
          <w:rFonts w:eastAsiaTheme="majorEastAsia"/>
        </w:rPr>
        <w:t>2022</w:t>
      </w:r>
      <w:r>
        <w:t xml:space="preserve">, që paraqet një përmirësim të dukshëm. Në vitin </w:t>
      </w:r>
      <w:r>
        <w:rPr>
          <w:rStyle w:val="Strong"/>
          <w:rFonts w:eastAsiaTheme="majorEastAsia"/>
        </w:rPr>
        <w:t>2023</w:t>
      </w:r>
      <w:r>
        <w:t xml:space="preserve">, kemi një rritje të mëtejshme në </w:t>
      </w:r>
      <w:r>
        <w:rPr>
          <w:rStyle w:val="Strong"/>
          <w:rFonts w:eastAsiaTheme="majorEastAsia"/>
        </w:rPr>
        <w:t>0.53</w:t>
      </w:r>
      <w:r>
        <w:t xml:space="preserve">, duke treguar përparime të vazhdueshme. Vlera mbetet pothuajse e pandryshuar në </w:t>
      </w:r>
      <w:r>
        <w:rPr>
          <w:rStyle w:val="Strong"/>
          <w:rFonts w:eastAsiaTheme="majorEastAsia"/>
        </w:rPr>
        <w:t>2024</w:t>
      </w:r>
      <w:r>
        <w:t xml:space="preserve"> me </w:t>
      </w:r>
      <w:r>
        <w:rPr>
          <w:rStyle w:val="Strong"/>
          <w:rFonts w:eastAsiaTheme="majorEastAsia"/>
        </w:rPr>
        <w:t>0.54</w:t>
      </w:r>
      <w:r>
        <w:t xml:space="preserve">, që sugjeron një periudhë stabilizimi. Megjithatë, në </w:t>
      </w:r>
      <w:r>
        <w:rPr>
          <w:rStyle w:val="Strong"/>
          <w:rFonts w:eastAsiaTheme="majorEastAsia"/>
        </w:rPr>
        <w:t>2025</w:t>
      </w:r>
      <w:r>
        <w:t xml:space="preserve">, vlera bie në </w:t>
      </w:r>
      <w:r>
        <w:rPr>
          <w:rStyle w:val="Strong"/>
          <w:rFonts w:eastAsiaTheme="majorEastAsia"/>
        </w:rPr>
        <w:t>0.43</w:t>
      </w:r>
      <w:r>
        <w:t xml:space="preserve">, duke sinjalizuar një rënie të papritur. Ndërkohë, deri në </w:t>
      </w:r>
      <w:r>
        <w:rPr>
          <w:rStyle w:val="Strong"/>
          <w:rFonts w:eastAsiaTheme="majorEastAsia"/>
        </w:rPr>
        <w:t>2026</w:t>
      </w:r>
      <w:r>
        <w:t xml:space="preserve">, vlera rritet përsëri në </w:t>
      </w:r>
      <w:r>
        <w:rPr>
          <w:rStyle w:val="Strong"/>
          <w:rFonts w:eastAsiaTheme="majorEastAsia"/>
        </w:rPr>
        <w:t>0.58</w:t>
      </w:r>
      <w:r>
        <w:t xml:space="preserve">, duke arritur nivelin më të lartë të kësaj periudhe. Kjo e dhënë reflekton një cikël të luhatjeve, por me një trend të përgjithshëm rritës. Rënia në </w:t>
      </w:r>
      <w:r>
        <w:rPr>
          <w:rStyle w:val="Strong"/>
          <w:rFonts w:eastAsiaTheme="majorEastAsia"/>
        </w:rPr>
        <w:t>2025</w:t>
      </w:r>
      <w:r>
        <w:t xml:space="preserve"> mund të jetë për shkak të faktorëve të jashtëm ose zhvillimeve të brendshme ekonomike. Përfundimisht, të dhënat tregojnë veçanërisht sfidat dhe përparimet me të cilat përballet Roskoveci në këto vite.</w:t>
      </w:r>
    </w:p>
    <w:p w:rsidR="00EF701A" w:rsidRDefault="00EF701A" w:rsidP="00BA3795"/>
    <w:p w:rsidR="00EF701A" w:rsidRDefault="00BA3795">
      <w:r>
        <w:rPr>
          <w:noProof/>
        </w:rPr>
        <w:drawing>
          <wp:inline distT="0" distB="0" distL="0" distR="0" wp14:anchorId="7F7DF6B8" wp14:editId="1E6EF0E6">
            <wp:extent cx="5486400" cy="3200400"/>
            <wp:effectExtent l="0" t="0" r="0" b="0"/>
            <wp:docPr id="1709500739" name="Chart 1709500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EF701A" w:rsidRDefault="00EF701A" w:rsidP="00BA3795"/>
    <w:p w:rsidR="00EF701A" w:rsidRDefault="00EF701A" w:rsidP="00BA3795"/>
    <w:p w:rsidR="00EF701A" w:rsidRDefault="00EF701A" w:rsidP="00BA3795"/>
    <w:p w:rsidR="00C06E6F" w:rsidRDefault="00C06E6F" w:rsidP="00BA3795"/>
    <w:p w:rsidR="00EF701A" w:rsidRDefault="00EF701A"/>
    <w:p w:rsidR="00EF701A" w:rsidRDefault="00BA3795" w:rsidP="00BA3795">
      <w:pPr>
        <w:pStyle w:val="indicatorNameStyle"/>
        <w:numPr>
          <w:ilvl w:val="0"/>
          <w:numId w:val="3"/>
        </w:numPr>
      </w:pPr>
      <w:r>
        <w:t>Pesha e shpenzimeve operacionale në buxhet</w:t>
      </w:r>
    </w:p>
    <w:p w:rsidR="00EF701A" w:rsidRDefault="00BA3795">
      <w:pPr>
        <w:pStyle w:val="NormalWeb"/>
        <w:divId w:val="641272580"/>
      </w:pPr>
      <w:r>
        <w:lastRenderedPageBreak/>
        <w:t xml:space="preserve">Të dhënat për bashkinë Roskovec tregojnë ndryshime të dukshme gjatë viteve </w:t>
      </w:r>
      <w:r>
        <w:rPr>
          <w:rStyle w:val="Strong"/>
          <w:rFonts w:eastAsiaTheme="majorEastAsia"/>
        </w:rPr>
        <w:t>2021-2026</w:t>
      </w:r>
      <w:r>
        <w:t xml:space="preserve">. Në </w:t>
      </w:r>
      <w:r>
        <w:rPr>
          <w:rStyle w:val="Strong"/>
          <w:rFonts w:eastAsiaTheme="majorEastAsia"/>
        </w:rPr>
        <w:t>2021</w:t>
      </w:r>
      <w:r>
        <w:t xml:space="preserve">, vlera ishte </w:t>
      </w:r>
      <w:r>
        <w:rPr>
          <w:rStyle w:val="Strong"/>
          <w:rFonts w:eastAsiaTheme="majorEastAsia"/>
        </w:rPr>
        <w:t>0.13</w:t>
      </w:r>
      <w:r>
        <w:t xml:space="preserve">, e cila është më e ulëta në periudhën e studiuar. Për vitin </w:t>
      </w:r>
      <w:r>
        <w:rPr>
          <w:rStyle w:val="Strong"/>
          <w:rFonts w:eastAsiaTheme="majorEastAsia"/>
        </w:rPr>
        <w:t>2022</w:t>
      </w:r>
      <w:r>
        <w:t xml:space="preserve">, u vunë re rritje të lehta, duke arritur në </w:t>
      </w:r>
      <w:r>
        <w:rPr>
          <w:rStyle w:val="Strong"/>
          <w:rFonts w:eastAsiaTheme="majorEastAsia"/>
        </w:rPr>
        <w:t>0.16</w:t>
      </w:r>
      <w:r>
        <w:t xml:space="preserve">. Kjo rritje u përshpejtua në vitin </w:t>
      </w:r>
      <w:r>
        <w:rPr>
          <w:rStyle w:val="Strong"/>
          <w:rFonts w:eastAsiaTheme="majorEastAsia"/>
        </w:rPr>
        <w:t>2023</w:t>
      </w:r>
      <w:r>
        <w:t xml:space="preserve">, kur vlera arriti në të lartën </w:t>
      </w:r>
      <w:r>
        <w:rPr>
          <w:rStyle w:val="Strong"/>
          <w:rFonts w:eastAsiaTheme="majorEastAsia"/>
        </w:rPr>
        <w:t>0.23</w:t>
      </w:r>
      <w:r>
        <w:t xml:space="preserve">. Megjithatë, në </w:t>
      </w:r>
      <w:r>
        <w:rPr>
          <w:rStyle w:val="Strong"/>
          <w:rFonts w:eastAsiaTheme="majorEastAsia"/>
        </w:rPr>
        <w:t>2024</w:t>
      </w:r>
      <w:r>
        <w:t xml:space="preserve"> pati një rënie të lehtë në </w:t>
      </w:r>
      <w:r>
        <w:rPr>
          <w:rStyle w:val="Strong"/>
          <w:rFonts w:eastAsiaTheme="majorEastAsia"/>
        </w:rPr>
        <w:t>0.16</w:t>
      </w:r>
      <w:r>
        <w:t xml:space="preserve">, duke u kthyer në nivelin e vitit </w:t>
      </w:r>
      <w:r>
        <w:rPr>
          <w:rStyle w:val="Strong"/>
          <w:rFonts w:eastAsiaTheme="majorEastAsia"/>
        </w:rPr>
        <w:t>2022</w:t>
      </w:r>
      <w:r>
        <w:t xml:space="preserve">. Nga </w:t>
      </w:r>
      <w:r>
        <w:rPr>
          <w:rStyle w:val="Strong"/>
          <w:rFonts w:eastAsiaTheme="majorEastAsia"/>
        </w:rPr>
        <w:t>2024</w:t>
      </w:r>
      <w:r>
        <w:t xml:space="preserve"> në </w:t>
      </w:r>
      <w:r>
        <w:rPr>
          <w:rStyle w:val="Strong"/>
          <w:rFonts w:eastAsiaTheme="majorEastAsia"/>
        </w:rPr>
        <w:t>2025</w:t>
      </w:r>
      <w:r>
        <w:t xml:space="preserve">, vlera shënoi një rritje të lehtë në </w:t>
      </w:r>
      <w:r>
        <w:rPr>
          <w:rStyle w:val="Strong"/>
          <w:rFonts w:eastAsiaTheme="majorEastAsia"/>
        </w:rPr>
        <w:t>0.17</w:t>
      </w:r>
      <w:r>
        <w:t xml:space="preserve">. Në </w:t>
      </w:r>
      <w:r>
        <w:rPr>
          <w:rStyle w:val="Strong"/>
          <w:rFonts w:eastAsiaTheme="majorEastAsia"/>
        </w:rPr>
        <w:t>2026</w:t>
      </w:r>
      <w:r>
        <w:t xml:space="preserve">, pati një rritje të konsiderueshme, duke arritur në </w:t>
      </w:r>
      <w:r>
        <w:rPr>
          <w:rStyle w:val="Strong"/>
          <w:rFonts w:eastAsiaTheme="majorEastAsia"/>
        </w:rPr>
        <w:t>0.22</w:t>
      </w:r>
      <w:r>
        <w:t xml:space="preserve">. Ky model tregon një luhatje ndër vite, me një pikë kulmore në </w:t>
      </w:r>
      <w:r>
        <w:rPr>
          <w:rStyle w:val="Strong"/>
          <w:rFonts w:eastAsiaTheme="majorEastAsia"/>
        </w:rPr>
        <w:t>2023</w:t>
      </w:r>
      <w:r>
        <w:t>. Gjithashtu, vlerat duket se stabilizohen drejt fundit të periudhës, me një tendencë rritëse. Këto luhatje mund të jenë shenja ndryshimesh ekonomike ose sociale në bashkinë Roskovec. Marrja në konsideratë e faktorëve të jashtëm mund të ndihmojë në shpjegimin e këtyre ndryshimeve.</w:t>
      </w:r>
    </w:p>
    <w:p w:rsidR="00EF701A" w:rsidRDefault="00EF701A" w:rsidP="00BA3795"/>
    <w:p w:rsidR="00EF701A" w:rsidRDefault="00BA3795">
      <w:r>
        <w:rPr>
          <w:noProof/>
        </w:rPr>
        <w:drawing>
          <wp:inline distT="0" distB="0" distL="0" distR="0" wp14:anchorId="211C6B5E" wp14:editId="5A4FB762">
            <wp:extent cx="5486400" cy="3200400"/>
            <wp:effectExtent l="0" t="0" r="0" b="0"/>
            <wp:docPr id="1071780221" name="Chart 1071780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EF701A" w:rsidRDefault="00EF701A" w:rsidP="00BA3795"/>
    <w:p w:rsidR="00EF701A" w:rsidRDefault="00EF701A" w:rsidP="00BA3795"/>
    <w:p w:rsidR="00C06E6F" w:rsidRDefault="00C06E6F" w:rsidP="00BA3795"/>
    <w:p w:rsidR="00C06E6F" w:rsidRDefault="00C06E6F" w:rsidP="00BA3795"/>
    <w:p w:rsidR="00EF701A" w:rsidRDefault="00EF701A" w:rsidP="00BA3795"/>
    <w:p w:rsidR="00EF701A" w:rsidRDefault="00EF701A"/>
    <w:p w:rsidR="00EF701A" w:rsidRDefault="00BA3795" w:rsidP="00BA3795">
      <w:pPr>
        <w:pStyle w:val="indicatorNameStyle"/>
        <w:numPr>
          <w:ilvl w:val="0"/>
          <w:numId w:val="3"/>
        </w:numPr>
      </w:pPr>
      <w:r>
        <w:t>Pesha e detyrimeve financiare të papaguara ndaj të tretëve (%)</w:t>
      </w:r>
    </w:p>
    <w:p w:rsidR="00EF701A" w:rsidRDefault="00BA3795">
      <w:pPr>
        <w:pStyle w:val="NormalWeb"/>
        <w:divId w:val="110363014"/>
      </w:pPr>
      <w:r>
        <w:lastRenderedPageBreak/>
        <w:t xml:space="preserve">Të dhënat për bashkinë Roskovec tregojnë një trend të dukshëm në periudhën e dhënë. Për vitin </w:t>
      </w:r>
      <w:r>
        <w:rPr>
          <w:rStyle w:val="Strong"/>
          <w:rFonts w:eastAsiaTheme="majorEastAsia"/>
        </w:rPr>
        <w:t>2021</w:t>
      </w:r>
      <w:r>
        <w:t xml:space="preserve">, </w:t>
      </w:r>
      <w:r>
        <w:rPr>
          <w:rStyle w:val="Strong"/>
          <w:rFonts w:eastAsiaTheme="majorEastAsia"/>
        </w:rPr>
        <w:t>2022</w:t>
      </w:r>
      <w:r>
        <w:t xml:space="preserve">,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vlera e regjistruar është </w:t>
      </w:r>
      <w:r>
        <w:rPr>
          <w:rStyle w:val="Strong"/>
          <w:rFonts w:eastAsiaTheme="majorEastAsia"/>
        </w:rPr>
        <w:t>0</w:t>
      </w:r>
      <w:r>
        <w:t xml:space="preserve">, çka nënkupton mungesë aktiviteti ose rritjeje në këto vite specifike. Viti </w:t>
      </w:r>
      <w:r>
        <w:rPr>
          <w:rStyle w:val="Strong"/>
          <w:rFonts w:eastAsiaTheme="majorEastAsia"/>
        </w:rPr>
        <w:t>2023</w:t>
      </w:r>
      <w:r>
        <w:t xml:space="preserve"> dallon nga vitet e tjera me një vlerë prej </w:t>
      </w:r>
      <w:r>
        <w:rPr>
          <w:rStyle w:val="Strong"/>
          <w:rFonts w:eastAsiaTheme="majorEastAsia"/>
        </w:rPr>
        <w:t>2.66</w:t>
      </w:r>
      <w:r>
        <w:t xml:space="preserve">, duke shfaqur një ndryshim të papritur ose një zhvillim të rëndësishëm. Ky mund të jetë rezultat i një ngjarjeje specifike apo një politike të ndërmarrë vetëm për vitin 2023. Pas këtij kulmi më </w:t>
      </w:r>
      <w:r>
        <w:rPr>
          <w:rStyle w:val="Strong"/>
          <w:rFonts w:eastAsiaTheme="majorEastAsia"/>
        </w:rPr>
        <w:t>2023</w:t>
      </w:r>
      <w:r>
        <w:t xml:space="preserve">, vlerat kthehen në </w:t>
      </w:r>
      <w:r>
        <w:rPr>
          <w:rStyle w:val="Strong"/>
          <w:rFonts w:eastAsiaTheme="majorEastAsia"/>
        </w:rPr>
        <w:t>0</w:t>
      </w:r>
      <w:r>
        <w:t xml:space="preserve"> për vitet e mbetura, </w:t>
      </w:r>
      <w:r>
        <w:rPr>
          <w:rStyle w:val="Strong"/>
          <w:rFonts w:eastAsiaTheme="majorEastAsia"/>
        </w:rPr>
        <w:t>2024</w:t>
      </w:r>
      <w:r>
        <w:t xml:space="preserve">, </w:t>
      </w:r>
      <w:r>
        <w:rPr>
          <w:rStyle w:val="Strong"/>
          <w:rFonts w:eastAsiaTheme="majorEastAsia"/>
        </w:rPr>
        <w:t>2025</w:t>
      </w:r>
      <w:r>
        <w:t xml:space="preserve">, dhe </w:t>
      </w:r>
      <w:r>
        <w:rPr>
          <w:rStyle w:val="Strong"/>
          <w:rFonts w:eastAsiaTheme="majorEastAsia"/>
        </w:rPr>
        <w:t>2026</w:t>
      </w:r>
      <w:r>
        <w:t xml:space="preserve">, duke sugjeruar mungesë vazhdimësie të zhvillimit ose suksesit të projektuar gjatë vitit 2023. Ndërprerja e vlerave pas vitit 2023 mund të tregojë për një projekt ose iniciativë afatshkurtër. Kjo gjithashtu mund të ngrejë pikëpyetje mbi qëndrueshmërinë e programit ose investimit të bërë në </w:t>
      </w:r>
      <w:r>
        <w:rPr>
          <w:rStyle w:val="Strong"/>
          <w:rFonts w:eastAsiaTheme="majorEastAsia"/>
        </w:rPr>
        <w:t>2023</w:t>
      </w:r>
      <w:r>
        <w:t xml:space="preserve">. Analiza e këtyre të dhënave kërkon një vështrim të thelluar në faktorët që çuan tek rritja e vetme e vitit </w:t>
      </w:r>
      <w:r>
        <w:rPr>
          <w:rStyle w:val="Strong"/>
          <w:rFonts w:eastAsiaTheme="majorEastAsia"/>
        </w:rPr>
        <w:t>2023</w:t>
      </w:r>
      <w:r>
        <w:t xml:space="preserve"> dhe shkaqet e mosvazhdimit në vitet pasuese.</w:t>
      </w:r>
    </w:p>
    <w:p w:rsidR="00EF701A" w:rsidRDefault="00EF701A" w:rsidP="00BA3795"/>
    <w:p w:rsidR="00EF701A" w:rsidRDefault="00BA3795">
      <w:r>
        <w:rPr>
          <w:noProof/>
        </w:rPr>
        <w:drawing>
          <wp:inline distT="0" distB="0" distL="0" distR="0" wp14:anchorId="3F3B1A52" wp14:editId="596D8EF5">
            <wp:extent cx="5486400" cy="3200400"/>
            <wp:effectExtent l="0" t="0" r="0" b="0"/>
            <wp:docPr id="235011733" name="Chart 2350117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EF701A" w:rsidRDefault="00EF701A" w:rsidP="00BA3795"/>
    <w:p w:rsidR="00EF701A" w:rsidRDefault="00EF701A" w:rsidP="00BA3795"/>
    <w:p w:rsidR="00EF701A" w:rsidRDefault="00EF701A" w:rsidP="00BA3795"/>
    <w:sectPr w:rsidR="00EF701A" w:rsidSect="005B526E">
      <w:headerReference w:type="first" r:id="rId17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2102" w:rsidRDefault="00CA2102" w:rsidP="007477E5">
      <w:pPr>
        <w:spacing w:after="0" w:line="240" w:lineRule="auto"/>
      </w:pPr>
      <w:r>
        <w:separator/>
      </w:r>
    </w:p>
  </w:endnote>
  <w:endnote w:type="continuationSeparator" w:id="0">
    <w:p w:rsidR="00CA2102" w:rsidRDefault="00CA2102" w:rsidP="007477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spacing w:after="0"/>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sidR="00533960">
      <w:rPr>
        <w:caps/>
        <w:noProof/>
        <w:color w:val="156082" w:themeColor="accent1"/>
      </w:rPr>
      <w:t>14</w:t>
    </w:r>
    <w:r>
      <w:rPr>
        <w:caps/>
        <w:noProof/>
        <w:color w:val="156082" w:themeColor="accent1"/>
      </w:rPr>
      <w:fldChar w:fldCharType="end"/>
    </w:r>
  </w:p>
  <w:p w:rsidR="00A8516B" w:rsidRDefault="00A8516B">
    <w:pPr>
      <w:spacing w:after="0"/>
    </w:pPr>
  </w:p>
  <w:p w:rsidR="00A8516B" w:rsidRDefault="00A8516B"/>
  <w:p w:rsidR="00A8516B" w:rsidRDefault="00A8516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2102" w:rsidRDefault="00CA2102" w:rsidP="007477E5">
      <w:pPr>
        <w:spacing w:after="0" w:line="240" w:lineRule="auto"/>
      </w:pPr>
      <w:r>
        <w:separator/>
      </w:r>
    </w:p>
  </w:footnote>
  <w:footnote w:type="continuationSeparator" w:id="0">
    <w:p w:rsidR="00CA2102" w:rsidRDefault="00CA2102" w:rsidP="007477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3960" w:rsidRDefault="00533960" w:rsidP="00BA3795">
    <w:pPr>
      <w:spacing w:after="0"/>
      <w:jc w:val="center"/>
      <w:rPr>
        <w:b/>
        <w:bCs/>
        <w:sz w:val="28"/>
        <w:szCs w:val="44"/>
      </w:rPr>
    </w:pPr>
    <w:r w:rsidRPr="0035636A">
      <w:rPr>
        <w:b/>
        <w:bCs/>
        <w:noProof/>
        <w:sz w:val="28"/>
        <w:szCs w:val="44"/>
      </w:rPr>
      <w:drawing>
        <wp:anchor distT="0" distB="0" distL="114300" distR="114300" simplePos="0" relativeHeight="251654656" behindDoc="1" locked="0" layoutInCell="1" allowOverlap="1" wp14:anchorId="7881AC14" wp14:editId="29A9AF93">
          <wp:simplePos x="0" y="0"/>
          <wp:positionH relativeFrom="page">
            <wp:align>center</wp:align>
          </wp:positionH>
          <wp:positionV relativeFrom="page">
            <wp:posOffset>210185</wp:posOffset>
          </wp:positionV>
          <wp:extent cx="694944" cy="649224"/>
          <wp:effectExtent l="0" t="0" r="0" b="0"/>
          <wp:wrapNone/>
          <wp:docPr id="1457197583" name="Picture 145719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94944" cy="649224"/>
                  </a:xfrm>
                  <a:prstGeom prst="rect">
                    <a:avLst/>
                  </a:prstGeom>
                </pic:spPr>
              </pic:pic>
            </a:graphicData>
          </a:graphic>
          <wp14:sizeRelH relativeFrom="margin">
            <wp14:pctWidth>0</wp14:pctWidth>
          </wp14:sizeRelH>
          <wp14:sizeRelV relativeFrom="margin">
            <wp14:pctHeight>0</wp14:pctHeight>
          </wp14:sizeRelV>
        </wp:anchor>
      </w:drawing>
    </w:r>
  </w:p>
  <w:p w:rsidR="00533960" w:rsidRDefault="00533960" w:rsidP="00BA3795">
    <w:pPr>
      <w:spacing w:after="0"/>
      <w:jc w:val="center"/>
      <w:rPr>
        <w:b/>
        <w:bCs/>
        <w:sz w:val="28"/>
        <w:szCs w:val="44"/>
      </w:rPr>
    </w:pPr>
  </w:p>
  <w:p w:rsidR="00A8516B" w:rsidRPr="00533960" w:rsidRDefault="00A8516B" w:rsidP="00BA3795">
    <w:pPr>
      <w:spacing w:after="0"/>
      <w:jc w:val="center"/>
      <w:rPr>
        <w:b/>
        <w:bCs/>
        <w:sz w:val="22"/>
        <w:szCs w:val="44"/>
      </w:rPr>
    </w:pPr>
    <w:r w:rsidRPr="00533960">
      <w:rPr>
        <w:b/>
        <w:bCs/>
        <w:sz w:val="22"/>
        <w:szCs w:val="44"/>
      </w:rPr>
      <w:t>BASHKIA ROSKOVEC</w:t>
    </w:r>
  </w:p>
  <w:p w:rsidR="00A8516B" w:rsidRDefault="00A8516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Pr="0035636A" w:rsidRDefault="00A8516B" w:rsidP="00C06E6F">
    <w:pPr>
      <w:spacing w:after="0"/>
      <w:jc w:val="center"/>
      <w:rPr>
        <w:b/>
        <w:bCs/>
        <w:sz w:val="28"/>
        <w:szCs w:val="44"/>
      </w:rPr>
    </w:pPr>
    <w:r w:rsidRPr="0035636A">
      <w:rPr>
        <w:b/>
        <w:bCs/>
        <w:noProof/>
        <w:sz w:val="28"/>
        <w:szCs w:val="44"/>
      </w:rPr>
      <w:drawing>
        <wp:anchor distT="0" distB="0" distL="114300" distR="114300" simplePos="0" relativeHeight="251662336" behindDoc="0" locked="0" layoutInCell="1" allowOverlap="1" wp14:anchorId="2701E76B" wp14:editId="0F17C8C5">
          <wp:simplePos x="0" y="0"/>
          <wp:positionH relativeFrom="margin">
            <wp:align>center</wp:align>
          </wp:positionH>
          <wp:positionV relativeFrom="paragraph">
            <wp:posOffset>-276225</wp:posOffset>
          </wp:positionV>
          <wp:extent cx="695325" cy="648970"/>
          <wp:effectExtent l="0" t="0" r="9525" b="0"/>
          <wp:wrapTopAndBottom/>
          <wp:docPr id="249865454" name="Picture 24986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95325" cy="648970"/>
                  </a:xfrm>
                  <a:prstGeom prst="rect">
                    <a:avLst/>
                  </a:prstGeom>
                </pic:spPr>
              </pic:pic>
            </a:graphicData>
          </a:graphic>
          <wp14:sizeRelH relativeFrom="margin">
            <wp14:pctWidth>0</wp14:pctWidth>
          </wp14:sizeRelH>
          <wp14:sizeRelV relativeFrom="margin">
            <wp14:pctHeight>0</wp14:pctHeight>
          </wp14:sizeRelV>
        </wp:anchor>
      </w:drawing>
    </w:r>
    <w:r w:rsidRPr="0035636A">
      <w:rPr>
        <w:b/>
        <w:bCs/>
        <w:sz w:val="28"/>
        <w:szCs w:val="44"/>
      </w:rPr>
      <w:t>BASHKIA ROSKOVEC</w:t>
    </w:r>
  </w:p>
  <w:p w:rsidR="00A8516B" w:rsidRDefault="00A851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3960" w:rsidRDefault="00533960" w:rsidP="00BA3795">
    <w:pPr>
      <w:spacing w:after="0"/>
      <w:jc w:val="center"/>
      <w:rPr>
        <w:b/>
        <w:bCs/>
        <w:sz w:val="28"/>
        <w:szCs w:val="44"/>
      </w:rPr>
    </w:pPr>
    <w:r w:rsidRPr="0035636A">
      <w:rPr>
        <w:b/>
        <w:bCs/>
        <w:noProof/>
        <w:sz w:val="28"/>
        <w:szCs w:val="44"/>
      </w:rPr>
      <w:drawing>
        <wp:anchor distT="0" distB="0" distL="114300" distR="114300" simplePos="0" relativeHeight="251658752" behindDoc="1" locked="0" layoutInCell="1" allowOverlap="1" wp14:anchorId="061344B8" wp14:editId="45C29E6C">
          <wp:simplePos x="0" y="0"/>
          <wp:positionH relativeFrom="page">
            <wp:align>center</wp:align>
          </wp:positionH>
          <wp:positionV relativeFrom="page">
            <wp:posOffset>255905</wp:posOffset>
          </wp:positionV>
          <wp:extent cx="694944" cy="649224"/>
          <wp:effectExtent l="0" t="0" r="0" b="0"/>
          <wp:wrapNone/>
          <wp:docPr id="854554830" name="Picture 85455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94944" cy="649224"/>
                  </a:xfrm>
                  <a:prstGeom prst="rect">
                    <a:avLst/>
                  </a:prstGeom>
                </pic:spPr>
              </pic:pic>
            </a:graphicData>
          </a:graphic>
          <wp14:sizeRelH relativeFrom="margin">
            <wp14:pctWidth>0</wp14:pctWidth>
          </wp14:sizeRelH>
          <wp14:sizeRelV relativeFrom="margin">
            <wp14:pctHeight>0</wp14:pctHeight>
          </wp14:sizeRelV>
        </wp:anchor>
      </w:drawing>
    </w:r>
  </w:p>
  <w:p w:rsidR="00533960" w:rsidRDefault="00533960" w:rsidP="00BA3795">
    <w:pPr>
      <w:spacing w:after="0"/>
      <w:jc w:val="center"/>
      <w:rPr>
        <w:b/>
        <w:bCs/>
        <w:sz w:val="28"/>
        <w:szCs w:val="44"/>
      </w:rPr>
    </w:pPr>
  </w:p>
  <w:p w:rsidR="00A8516B" w:rsidRPr="00533960" w:rsidRDefault="00A8516B" w:rsidP="00533960">
    <w:pPr>
      <w:spacing w:after="0"/>
      <w:jc w:val="center"/>
      <w:rPr>
        <w:b/>
        <w:bCs/>
        <w:szCs w:val="44"/>
      </w:rPr>
    </w:pPr>
    <w:r w:rsidRPr="00533960">
      <w:rPr>
        <w:b/>
        <w:bCs/>
        <w:szCs w:val="44"/>
      </w:rPr>
      <w:t>BASHKIA ROSKOVEC</w:t>
    </w:r>
  </w:p>
  <w:p w:rsidR="00A8516B" w:rsidRDefault="00A8516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516B" w:rsidRDefault="00A851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8A1C"/>
      </v:shape>
    </w:pict>
  </w:numPicBullet>
  <w:abstractNum w:abstractNumId="0" w15:restartNumberingAfterBreak="0">
    <w:nsid w:val="01251E6B"/>
    <w:multiLevelType w:val="hybridMultilevel"/>
    <w:tmpl w:val="B1884CCC"/>
    <w:lvl w:ilvl="0" w:tplc="945291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155218"/>
    <w:multiLevelType w:val="hybridMultilevel"/>
    <w:tmpl w:val="DF28B0B8"/>
    <w:lvl w:ilvl="0" w:tplc="15F4A69A">
      <w:start w:val="1"/>
      <w:numFmt w:val="bullet"/>
      <w:pStyle w:val="Style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3F251E"/>
    <w:multiLevelType w:val="hybridMultilevel"/>
    <w:tmpl w:val="32F2F252"/>
    <w:lvl w:ilvl="0" w:tplc="FF2865DC">
      <w:start w:val="1"/>
      <w:numFmt w:val="bullet"/>
      <w:pStyle w:val="dataNameStyle"/>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A57513"/>
    <w:multiLevelType w:val="hybridMultilevel"/>
    <w:tmpl w:val="5D063C82"/>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6E9063B6"/>
    <w:multiLevelType w:val="hybridMultilevel"/>
    <w:tmpl w:val="32AE8CF4"/>
    <w:lvl w:ilvl="0" w:tplc="184EE1AE">
      <w:start w:val="1"/>
      <w:numFmt w:val="bullet"/>
      <w:pStyle w:val="indicatorNameStyl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6312"/>
    <w:rsid w:val="00017001"/>
    <w:rsid w:val="00064A6A"/>
    <w:rsid w:val="000708F2"/>
    <w:rsid w:val="00075532"/>
    <w:rsid w:val="00087AE8"/>
    <w:rsid w:val="00105F15"/>
    <w:rsid w:val="00136FF4"/>
    <w:rsid w:val="0015222C"/>
    <w:rsid w:val="001860D1"/>
    <w:rsid w:val="00197F3D"/>
    <w:rsid w:val="002A2C2D"/>
    <w:rsid w:val="002A5238"/>
    <w:rsid w:val="002B6312"/>
    <w:rsid w:val="00301B14"/>
    <w:rsid w:val="003338A1"/>
    <w:rsid w:val="003E3BF5"/>
    <w:rsid w:val="00400814"/>
    <w:rsid w:val="00431A19"/>
    <w:rsid w:val="00434583"/>
    <w:rsid w:val="00443184"/>
    <w:rsid w:val="0048332E"/>
    <w:rsid w:val="00487468"/>
    <w:rsid w:val="00495720"/>
    <w:rsid w:val="00533960"/>
    <w:rsid w:val="00534F70"/>
    <w:rsid w:val="00537DAF"/>
    <w:rsid w:val="005A29BF"/>
    <w:rsid w:val="005B526E"/>
    <w:rsid w:val="005E2FD9"/>
    <w:rsid w:val="005E7F05"/>
    <w:rsid w:val="005F7436"/>
    <w:rsid w:val="006239CD"/>
    <w:rsid w:val="0062551E"/>
    <w:rsid w:val="006323A0"/>
    <w:rsid w:val="006B5480"/>
    <w:rsid w:val="006F069C"/>
    <w:rsid w:val="00701898"/>
    <w:rsid w:val="00724370"/>
    <w:rsid w:val="007327B7"/>
    <w:rsid w:val="007477E5"/>
    <w:rsid w:val="007B7C19"/>
    <w:rsid w:val="007C63B6"/>
    <w:rsid w:val="007E1942"/>
    <w:rsid w:val="00801D6E"/>
    <w:rsid w:val="0085741A"/>
    <w:rsid w:val="00874E01"/>
    <w:rsid w:val="008E0932"/>
    <w:rsid w:val="008E341D"/>
    <w:rsid w:val="008E6EFE"/>
    <w:rsid w:val="00917BA7"/>
    <w:rsid w:val="0093475F"/>
    <w:rsid w:val="00961A04"/>
    <w:rsid w:val="009925FB"/>
    <w:rsid w:val="009E0003"/>
    <w:rsid w:val="00A41232"/>
    <w:rsid w:val="00A41BC8"/>
    <w:rsid w:val="00A575FB"/>
    <w:rsid w:val="00A8516B"/>
    <w:rsid w:val="00A92ED9"/>
    <w:rsid w:val="00A96BCD"/>
    <w:rsid w:val="00AA1157"/>
    <w:rsid w:val="00AE20D4"/>
    <w:rsid w:val="00B342B0"/>
    <w:rsid w:val="00B46AF6"/>
    <w:rsid w:val="00B676FE"/>
    <w:rsid w:val="00B774C2"/>
    <w:rsid w:val="00BA3795"/>
    <w:rsid w:val="00BC38D8"/>
    <w:rsid w:val="00C06E6F"/>
    <w:rsid w:val="00C93D10"/>
    <w:rsid w:val="00CA2102"/>
    <w:rsid w:val="00CA4AA7"/>
    <w:rsid w:val="00CC5938"/>
    <w:rsid w:val="00CE33F3"/>
    <w:rsid w:val="00CF5C5E"/>
    <w:rsid w:val="00D067CE"/>
    <w:rsid w:val="00D63603"/>
    <w:rsid w:val="00DA5842"/>
    <w:rsid w:val="00DA604F"/>
    <w:rsid w:val="00DB2B53"/>
    <w:rsid w:val="00DC6E53"/>
    <w:rsid w:val="00DE1138"/>
    <w:rsid w:val="00E174AB"/>
    <w:rsid w:val="00E46253"/>
    <w:rsid w:val="00E566D9"/>
    <w:rsid w:val="00E74322"/>
    <w:rsid w:val="00EB5301"/>
    <w:rsid w:val="00EF701A"/>
    <w:rsid w:val="00F30BCC"/>
    <w:rsid w:val="00F36512"/>
    <w:rsid w:val="00F62068"/>
    <w:rsid w:val="00F83F6B"/>
    <w:rsid w:val="00F919C9"/>
    <w:rsid w:val="00FE15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1C3996"/>
  <w15:docId w15:val="{7C290933-2D3B-43B2-8F3A-7F07B4999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FF4"/>
    <w:pPr>
      <w:jc w:val="both"/>
    </w:pPr>
    <w:rPr>
      <w:rFonts w:ascii="Times New Roman" w:hAnsi="Times New Roman"/>
    </w:rPr>
  </w:style>
  <w:style w:type="paragraph" w:styleId="Heading1">
    <w:name w:val="heading 1"/>
    <w:basedOn w:val="Normal"/>
    <w:next w:val="Normal"/>
    <w:link w:val="Heading1Char"/>
    <w:uiPriority w:val="9"/>
    <w:qFormat/>
    <w:rsid w:val="0093475F"/>
    <w:pPr>
      <w:keepNext/>
      <w:keepLines/>
      <w:pageBreakBefore/>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17001"/>
    <w:pPr>
      <w:keepNext/>
      <w:keepLines/>
      <w:pageBreakBefore/>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3458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631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631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63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63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63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63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75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1700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34583"/>
    <w:rPr>
      <w:rFonts w:ascii="Times New Roman" w:eastAsiaTheme="majorEastAsia" w:hAnsi="Times New Roman"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631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631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63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63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63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6312"/>
    <w:rPr>
      <w:rFonts w:eastAsiaTheme="majorEastAsia" w:cstheme="majorBidi"/>
      <w:color w:val="272727" w:themeColor="text1" w:themeTint="D8"/>
    </w:rPr>
  </w:style>
  <w:style w:type="paragraph" w:styleId="Title">
    <w:name w:val="Title"/>
    <w:basedOn w:val="Normal"/>
    <w:next w:val="Normal"/>
    <w:link w:val="TitleChar"/>
    <w:uiPriority w:val="10"/>
    <w:qFormat/>
    <w:rsid w:val="002B63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63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63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63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6312"/>
    <w:pPr>
      <w:spacing w:before="160"/>
      <w:jc w:val="center"/>
    </w:pPr>
    <w:rPr>
      <w:i/>
      <w:iCs/>
      <w:color w:val="404040" w:themeColor="text1" w:themeTint="BF"/>
    </w:rPr>
  </w:style>
  <w:style w:type="character" w:customStyle="1" w:styleId="QuoteChar">
    <w:name w:val="Quote Char"/>
    <w:basedOn w:val="DefaultParagraphFont"/>
    <w:link w:val="Quote"/>
    <w:uiPriority w:val="29"/>
    <w:rsid w:val="002B6312"/>
    <w:rPr>
      <w:i/>
      <w:iCs/>
      <w:color w:val="404040" w:themeColor="text1" w:themeTint="BF"/>
    </w:rPr>
  </w:style>
  <w:style w:type="paragraph" w:styleId="ListParagraph">
    <w:name w:val="List Paragraph"/>
    <w:basedOn w:val="Normal"/>
    <w:uiPriority w:val="34"/>
    <w:qFormat/>
    <w:rsid w:val="002B6312"/>
    <w:pPr>
      <w:ind w:left="720"/>
      <w:contextualSpacing/>
    </w:pPr>
  </w:style>
  <w:style w:type="character" w:styleId="IntenseEmphasis">
    <w:name w:val="Intense Emphasis"/>
    <w:basedOn w:val="DefaultParagraphFont"/>
    <w:uiPriority w:val="21"/>
    <w:qFormat/>
    <w:rsid w:val="002B6312"/>
    <w:rPr>
      <w:i/>
      <w:iCs/>
      <w:color w:val="0F4761" w:themeColor="accent1" w:themeShade="BF"/>
    </w:rPr>
  </w:style>
  <w:style w:type="paragraph" w:styleId="IntenseQuote">
    <w:name w:val="Intense Quote"/>
    <w:basedOn w:val="Normal"/>
    <w:next w:val="Normal"/>
    <w:link w:val="IntenseQuoteChar"/>
    <w:uiPriority w:val="30"/>
    <w:qFormat/>
    <w:rsid w:val="002B63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6312"/>
    <w:rPr>
      <w:i/>
      <w:iCs/>
      <w:color w:val="0F4761" w:themeColor="accent1" w:themeShade="BF"/>
    </w:rPr>
  </w:style>
  <w:style w:type="character" w:styleId="IntenseReference">
    <w:name w:val="Intense Reference"/>
    <w:basedOn w:val="DefaultParagraphFont"/>
    <w:uiPriority w:val="32"/>
    <w:qFormat/>
    <w:rsid w:val="002B6312"/>
    <w:rPr>
      <w:b/>
      <w:bCs/>
      <w:smallCaps/>
      <w:color w:val="0F4761" w:themeColor="accent1" w:themeShade="BF"/>
      <w:spacing w:val="5"/>
    </w:rPr>
  </w:style>
  <w:style w:type="paragraph" w:styleId="NoSpacing">
    <w:name w:val="No Spacing"/>
    <w:uiPriority w:val="1"/>
    <w:qFormat/>
    <w:rsid w:val="005B526E"/>
    <w:pPr>
      <w:spacing w:after="0" w:line="240" w:lineRule="auto"/>
    </w:pPr>
    <w:rPr>
      <w:color w:val="0E2841" w:themeColor="text2"/>
      <w:kern w:val="0"/>
      <w:sz w:val="20"/>
      <w:szCs w:val="20"/>
      <w14:ligatures w14:val="none"/>
    </w:rPr>
  </w:style>
  <w:style w:type="table" w:customStyle="1" w:styleId="GridTable4-Accent11">
    <w:name w:val="Grid Table 4 - Accent 11"/>
    <w:basedOn w:val="TableNormal"/>
    <w:uiPriority w:val="49"/>
    <w:rsid w:val="005B526E"/>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customStyle="1" w:styleId="bashkiaNameStyle">
    <w:name w:val="bashkiaName_Style"/>
    <w:basedOn w:val="Normal"/>
    <w:link w:val="bashkiaNameStyleChar"/>
    <w:qFormat/>
    <w:rsid w:val="005B526E"/>
    <w:rPr>
      <w:color w:val="0E2841" w:themeColor="text2"/>
      <w:sz w:val="28"/>
      <w14:textFill>
        <w14:solidFill>
          <w14:schemeClr w14:val="tx2">
            <w14:lumMod w14:val="10000"/>
            <w14:lumOff w14:val="90000"/>
            <w14:lumMod w14:val="10000"/>
            <w14:lumOff w14:val="90000"/>
          </w14:schemeClr>
        </w14:solidFill>
      </w14:textFill>
    </w:rPr>
  </w:style>
  <w:style w:type="paragraph" w:styleId="BodyText">
    <w:name w:val="Body Text"/>
    <w:basedOn w:val="Normal"/>
    <w:link w:val="BodyTextChar"/>
    <w:uiPriority w:val="1"/>
    <w:qFormat/>
    <w:rsid w:val="009E0003"/>
    <w:pPr>
      <w:widowControl w:val="0"/>
      <w:autoSpaceDE w:val="0"/>
      <w:autoSpaceDN w:val="0"/>
      <w:spacing w:after="0" w:line="240" w:lineRule="auto"/>
    </w:pPr>
    <w:rPr>
      <w:rFonts w:eastAsia="Times New Roman" w:cs="Times New Roman"/>
      <w:kern w:val="0"/>
      <w:lang w:val="sq-AL"/>
      <w14:ligatures w14:val="none"/>
    </w:rPr>
  </w:style>
  <w:style w:type="character" w:customStyle="1" w:styleId="bashkiaNameStyleChar">
    <w:name w:val="bashkiaName_Style Char"/>
    <w:basedOn w:val="DefaultParagraphFont"/>
    <w:link w:val="bashkiaNameStyle"/>
    <w:rsid w:val="005B526E"/>
    <w:rPr>
      <w:color w:val="0E2841" w:themeColor="text2"/>
      <w:sz w:val="28"/>
      <w14:textFill>
        <w14:solidFill>
          <w14:schemeClr w14:val="tx2">
            <w14:lumMod w14:val="10000"/>
            <w14:lumOff w14:val="90000"/>
            <w14:lumMod w14:val="10000"/>
            <w14:lumOff w14:val="90000"/>
          </w14:schemeClr>
        </w14:solidFill>
      </w14:textFill>
    </w:rPr>
  </w:style>
  <w:style w:type="character" w:customStyle="1" w:styleId="BodyTextChar">
    <w:name w:val="Body Text Char"/>
    <w:basedOn w:val="DefaultParagraphFont"/>
    <w:link w:val="BodyText"/>
    <w:uiPriority w:val="1"/>
    <w:rsid w:val="009E0003"/>
    <w:rPr>
      <w:rFonts w:ascii="Times New Roman" w:eastAsia="Times New Roman" w:hAnsi="Times New Roman" w:cs="Times New Roman"/>
      <w:kern w:val="0"/>
      <w:lang w:val="sq-AL"/>
      <w14:ligatures w14:val="none"/>
    </w:rPr>
  </w:style>
  <w:style w:type="paragraph" w:styleId="TOCHeading">
    <w:name w:val="TOC Heading"/>
    <w:basedOn w:val="Heading1"/>
    <w:next w:val="Normal"/>
    <w:uiPriority w:val="39"/>
    <w:unhideWhenUsed/>
    <w:qFormat/>
    <w:rsid w:val="009E0003"/>
    <w:pPr>
      <w:pageBreakBefore w:val="0"/>
      <w:spacing w:before="240" w:after="0" w:line="259" w:lineRule="auto"/>
      <w:outlineLvl w:val="9"/>
    </w:pPr>
    <w:rPr>
      <w:kern w:val="0"/>
      <w:sz w:val="32"/>
      <w:szCs w:val="32"/>
      <w14:ligatures w14:val="none"/>
    </w:rPr>
  </w:style>
  <w:style w:type="paragraph" w:styleId="TOC2">
    <w:name w:val="toc 2"/>
    <w:basedOn w:val="Normal"/>
    <w:next w:val="Normal"/>
    <w:autoRedefine/>
    <w:uiPriority w:val="39"/>
    <w:unhideWhenUsed/>
    <w:rsid w:val="009E0003"/>
    <w:pPr>
      <w:spacing w:after="100" w:line="259" w:lineRule="auto"/>
      <w:ind w:left="220"/>
    </w:pPr>
    <w:rPr>
      <w:rFonts w:eastAsiaTheme="minorEastAsia" w:cs="Times New Roman"/>
      <w:kern w:val="0"/>
      <w:sz w:val="22"/>
      <w:szCs w:val="22"/>
      <w14:ligatures w14:val="none"/>
    </w:rPr>
  </w:style>
  <w:style w:type="paragraph" w:styleId="TOC1">
    <w:name w:val="toc 1"/>
    <w:basedOn w:val="Normal"/>
    <w:next w:val="Normal"/>
    <w:autoRedefine/>
    <w:uiPriority w:val="39"/>
    <w:unhideWhenUsed/>
    <w:rsid w:val="009E0003"/>
    <w:pPr>
      <w:spacing w:after="100" w:line="259" w:lineRule="auto"/>
    </w:pPr>
    <w:rPr>
      <w:rFonts w:eastAsiaTheme="minorEastAsia" w:cs="Times New Roman"/>
      <w:kern w:val="0"/>
      <w:sz w:val="22"/>
      <w:szCs w:val="22"/>
      <w14:ligatures w14:val="none"/>
    </w:rPr>
  </w:style>
  <w:style w:type="paragraph" w:styleId="TOC3">
    <w:name w:val="toc 3"/>
    <w:basedOn w:val="Normal"/>
    <w:next w:val="Normal"/>
    <w:autoRedefine/>
    <w:uiPriority w:val="39"/>
    <w:unhideWhenUsed/>
    <w:rsid w:val="009E0003"/>
    <w:pPr>
      <w:spacing w:after="100" w:line="259" w:lineRule="auto"/>
      <w:ind w:left="440"/>
    </w:pPr>
    <w:rPr>
      <w:rFonts w:eastAsiaTheme="minorEastAsia" w:cs="Times New Roman"/>
      <w:kern w:val="0"/>
      <w:sz w:val="22"/>
      <w:szCs w:val="22"/>
      <w14:ligatures w14:val="none"/>
    </w:rPr>
  </w:style>
  <w:style w:type="character" w:styleId="Hyperlink">
    <w:name w:val="Hyperlink"/>
    <w:basedOn w:val="DefaultParagraphFont"/>
    <w:uiPriority w:val="99"/>
    <w:unhideWhenUsed/>
    <w:rsid w:val="009E0003"/>
    <w:rPr>
      <w:color w:val="467886" w:themeColor="hyperlink"/>
      <w:u w:val="single"/>
    </w:rPr>
  </w:style>
  <w:style w:type="paragraph" w:customStyle="1" w:styleId="firstSessionStyle">
    <w:name w:val="firstSession_Style"/>
    <w:basedOn w:val="Heading1"/>
    <w:link w:val="firstSessionStyleChar"/>
    <w:qFormat/>
    <w:rsid w:val="009E0003"/>
    <w:pPr>
      <w:shd w:val="clear" w:color="auto" w:fill="A5C9EB" w:themeFill="text2" w:themeFillTint="40"/>
    </w:pPr>
    <w:rPr>
      <w:rFonts w:ascii="Times New Roman" w:hAnsi="Times New Roman" w:cs="Times New Roman"/>
      <w:color w:val="FFFFFF" w:themeColor="background1"/>
      <w:sz w:val="32"/>
      <w:lang w:val="nl-BE"/>
    </w:rPr>
  </w:style>
  <w:style w:type="paragraph" w:styleId="NormalWeb">
    <w:name w:val="Normal (Web)"/>
    <w:basedOn w:val="Normal"/>
    <w:uiPriority w:val="99"/>
    <w:unhideWhenUsed/>
    <w:rsid w:val="005F7436"/>
    <w:pPr>
      <w:spacing w:before="100" w:beforeAutospacing="1" w:after="100" w:afterAutospacing="1" w:line="240" w:lineRule="auto"/>
    </w:pPr>
    <w:rPr>
      <w:rFonts w:eastAsia="Times New Roman" w:cs="Times New Roman"/>
      <w:kern w:val="0"/>
      <w14:ligatures w14:val="none"/>
    </w:rPr>
  </w:style>
  <w:style w:type="character" w:customStyle="1" w:styleId="firstSessionStyleChar">
    <w:name w:val="firstSession_Style Char"/>
    <w:basedOn w:val="DefaultParagraphFont"/>
    <w:link w:val="firstSessionStyle"/>
    <w:rsid w:val="001860D1"/>
    <w:rPr>
      <w:rFonts w:ascii="Times New Roman" w:eastAsiaTheme="majorEastAsia" w:hAnsi="Times New Roman" w:cs="Times New Roman"/>
      <w:color w:val="FFFFFF" w:themeColor="background1"/>
      <w:sz w:val="32"/>
      <w:szCs w:val="40"/>
      <w:shd w:val="clear" w:color="auto" w:fill="A5C9EB" w:themeFill="text2" w:themeFillTint="40"/>
      <w:lang w:val="nl-BE"/>
    </w:rPr>
  </w:style>
  <w:style w:type="paragraph" w:styleId="BalloonText">
    <w:name w:val="Balloon Text"/>
    <w:basedOn w:val="Normal"/>
    <w:link w:val="BalloonTextChar"/>
    <w:uiPriority w:val="99"/>
    <w:semiHidden/>
    <w:unhideWhenUsed/>
    <w:rsid w:val="005F74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7436"/>
    <w:rPr>
      <w:rFonts w:ascii="Segoe UI" w:hAnsi="Segoe UI" w:cs="Segoe UI"/>
      <w:sz w:val="18"/>
      <w:szCs w:val="18"/>
    </w:rPr>
  </w:style>
  <w:style w:type="paragraph" w:customStyle="1" w:styleId="MenaxhimiFinanciarH2Style">
    <w:name w:val="MenaxhimiFinanciarH2_Style"/>
    <w:basedOn w:val="Heading2"/>
    <w:link w:val="MenaxhimiFinanciarH2StyleChar"/>
    <w:rsid w:val="001860D1"/>
    <w:rPr>
      <w:lang w:val="nl-BE"/>
    </w:rPr>
  </w:style>
  <w:style w:type="paragraph" w:customStyle="1" w:styleId="Style1">
    <w:name w:val="Style1"/>
    <w:basedOn w:val="MenaxhimiFinanciarH2Style"/>
    <w:link w:val="Style1Char"/>
    <w:qFormat/>
    <w:rsid w:val="008E6EFE"/>
    <w:pPr>
      <w:shd w:val="clear" w:color="auto" w:fill="E8E8E8" w:themeFill="background2"/>
    </w:pPr>
    <w:rPr>
      <w:rFonts w:ascii="Times New Roman" w:hAnsi="Times New Roman" w:cs="Times New Roman"/>
      <w:color w:val="4C94D8" w:themeColor="text2" w:themeTint="80"/>
    </w:rPr>
  </w:style>
  <w:style w:type="character" w:customStyle="1" w:styleId="MenaxhimiFinanciarH2StyleChar">
    <w:name w:val="MenaxhimiFinanciarH2_Style Char"/>
    <w:basedOn w:val="Heading2Char"/>
    <w:link w:val="MenaxhimiFinanciarH2Style"/>
    <w:rsid w:val="001860D1"/>
    <w:rPr>
      <w:rFonts w:asciiTheme="majorHAnsi" w:eastAsiaTheme="majorEastAsia" w:hAnsiTheme="majorHAnsi" w:cstheme="majorBidi"/>
      <w:color w:val="0F4761" w:themeColor="accent1" w:themeShade="BF"/>
      <w:sz w:val="32"/>
      <w:szCs w:val="32"/>
      <w:lang w:val="nl-BE"/>
    </w:rPr>
  </w:style>
  <w:style w:type="character" w:customStyle="1" w:styleId="Style1Char">
    <w:name w:val="Style1 Char"/>
    <w:basedOn w:val="MenaxhimiFinanciarH2StyleChar"/>
    <w:link w:val="Style1"/>
    <w:rsid w:val="008E6EFE"/>
    <w:rPr>
      <w:rFonts w:ascii="Times New Roman" w:eastAsiaTheme="majorEastAsia" w:hAnsi="Times New Roman" w:cs="Times New Roman"/>
      <w:color w:val="4C94D8" w:themeColor="text2" w:themeTint="80"/>
      <w:sz w:val="32"/>
      <w:szCs w:val="32"/>
      <w:shd w:val="clear" w:color="auto" w:fill="E8E8E8" w:themeFill="background2"/>
      <w:lang w:val="nl-BE"/>
    </w:rPr>
  </w:style>
  <w:style w:type="character" w:styleId="Strong">
    <w:name w:val="Strong"/>
    <w:basedOn w:val="DefaultParagraphFont"/>
    <w:uiPriority w:val="22"/>
    <w:qFormat/>
    <w:rsid w:val="00400814"/>
    <w:rPr>
      <w:b/>
      <w:bCs/>
    </w:rPr>
  </w:style>
  <w:style w:type="paragraph" w:customStyle="1" w:styleId="Style2">
    <w:name w:val="Style2"/>
    <w:basedOn w:val="Normal"/>
    <w:link w:val="Style2Char"/>
    <w:qFormat/>
    <w:rsid w:val="000708F2"/>
    <w:pPr>
      <w:numPr>
        <w:numId w:val="1"/>
      </w:numPr>
    </w:pPr>
    <w:rPr>
      <w:rFonts w:cs="Times New Roman"/>
      <w:color w:val="747474" w:themeColor="background2" w:themeShade="80"/>
      <w:sz w:val="28"/>
      <w:lang w:val="nl-BE"/>
    </w:rPr>
  </w:style>
  <w:style w:type="character" w:customStyle="1" w:styleId="Style2Char">
    <w:name w:val="Style2 Char"/>
    <w:basedOn w:val="Heading3Char"/>
    <w:link w:val="Style2"/>
    <w:rsid w:val="000708F2"/>
    <w:rPr>
      <w:rFonts w:ascii="Times New Roman" w:eastAsiaTheme="majorEastAsia" w:hAnsi="Times New Roman" w:cs="Times New Roman"/>
      <w:color w:val="747474" w:themeColor="background2" w:themeShade="80"/>
      <w:sz w:val="28"/>
      <w:szCs w:val="28"/>
      <w:lang w:val="nl-BE"/>
    </w:rPr>
  </w:style>
  <w:style w:type="paragraph" w:styleId="Header">
    <w:name w:val="header"/>
    <w:basedOn w:val="Normal"/>
    <w:link w:val="HeaderChar"/>
    <w:uiPriority w:val="99"/>
    <w:unhideWhenUsed/>
    <w:pPr>
      <w:tabs>
        <w:tab w:val="center" w:pos="4680"/>
        <w:tab w:val="right" w:pos="9360"/>
      </w:tabs>
      <w:spacing w:after="0" w:line="240" w:lineRule="auto"/>
      <w:jc w:val="left"/>
    </w:pPr>
    <w:rPr>
      <w:kern w:val="0"/>
      <w:szCs w:val="22"/>
      <w14:ligatures w14:val="none"/>
    </w:rPr>
  </w:style>
  <w:style w:type="character" w:customStyle="1" w:styleId="HeaderChar">
    <w:name w:val="Header Char"/>
    <w:basedOn w:val="DefaultParagraphFont"/>
    <w:link w:val="Header"/>
    <w:uiPriority w:val="99"/>
    <w:rPr>
      <w:rFonts w:ascii="Times New Roman" w:hAnsi="Times New Roman"/>
      <w:kern w:val="0"/>
      <w:szCs w:val="22"/>
      <w14:ligatures w14:val="none"/>
    </w:rPr>
  </w:style>
  <w:style w:type="paragraph" w:styleId="Footer">
    <w:name w:val="footer"/>
    <w:basedOn w:val="Normal"/>
    <w:link w:val="FooterChar"/>
    <w:uiPriority w:val="99"/>
    <w:unhideWhenUsed/>
    <w:pPr>
      <w:tabs>
        <w:tab w:val="center" w:pos="4680"/>
        <w:tab w:val="right" w:pos="9360"/>
      </w:tabs>
      <w:spacing w:after="0" w:line="240" w:lineRule="auto"/>
      <w:jc w:val="left"/>
    </w:pPr>
    <w:rPr>
      <w:kern w:val="0"/>
      <w:szCs w:val="22"/>
      <w14:ligatures w14:val="none"/>
    </w:rPr>
  </w:style>
  <w:style w:type="character" w:customStyle="1" w:styleId="FooterChar">
    <w:name w:val="Footer Char"/>
    <w:basedOn w:val="DefaultParagraphFont"/>
    <w:link w:val="Footer"/>
    <w:uiPriority w:val="99"/>
    <w:rPr>
      <w:rFonts w:ascii="Times New Roman" w:hAnsi="Times New Roman"/>
      <w:kern w:val="0"/>
      <w:szCs w:val="22"/>
      <w14:ligatures w14:val="none"/>
    </w:rPr>
  </w:style>
  <w:style w:type="paragraph" w:customStyle="1" w:styleId="sherbimiemristyle">
    <w:name w:val="sherbimi_emri_style"/>
    <w:basedOn w:val="Heading2"/>
    <w:link w:val="sherbimiemristyleChar"/>
    <w:qFormat/>
    <w:rsid w:val="007477E5"/>
    <w:pPr>
      <w:shd w:val="clear" w:color="auto" w:fill="E8E8E8" w:themeFill="background2"/>
    </w:pPr>
    <w:rPr>
      <w:rFonts w:ascii="Times New Roman" w:hAnsi="Times New Roman"/>
      <w:b/>
      <w:color w:val="156082" w:themeColor="accent1"/>
    </w:rPr>
  </w:style>
  <w:style w:type="character" w:customStyle="1" w:styleId="sherbimiemristyleChar">
    <w:name w:val="sherbimi_emri_style Char"/>
    <w:basedOn w:val="DefaultParagraphFont"/>
    <w:link w:val="sherbimiemristyle"/>
    <w:rsid w:val="007477E5"/>
    <w:rPr>
      <w:rFonts w:ascii="Times New Roman" w:eastAsiaTheme="majorEastAsia" w:hAnsi="Times New Roman" w:cstheme="majorBidi"/>
      <w:b/>
      <w:color w:val="156082" w:themeColor="accent1"/>
      <w:sz w:val="32"/>
      <w:szCs w:val="32"/>
      <w:shd w:val="clear" w:color="auto" w:fill="E8E8E8" w:themeFill="background2"/>
    </w:rPr>
  </w:style>
  <w:style w:type="paragraph" w:customStyle="1" w:styleId="treguesistyle">
    <w:name w:val="treguesi_style"/>
    <w:basedOn w:val="Normal"/>
    <w:link w:val="treguesistyleChar"/>
    <w:qFormat/>
    <w:pPr>
      <w:spacing w:line="259" w:lineRule="auto"/>
      <w:jc w:val="left"/>
    </w:pPr>
    <w:rPr>
      <w:rFonts w:cs="Times New Roman"/>
      <w:b/>
      <w:i/>
      <w:color w:val="0F4761" w:themeColor="accent1" w:themeShade="BF"/>
      <w:kern w:val="0"/>
      <w:sz w:val="28"/>
      <w14:ligatures w14:val="none"/>
    </w:rPr>
  </w:style>
  <w:style w:type="paragraph" w:customStyle="1" w:styleId="tedhenastyle">
    <w:name w:val="te_dhena_style"/>
    <w:basedOn w:val="Normal"/>
    <w:link w:val="tedhenastyleChar"/>
    <w:qFormat/>
    <w:pPr>
      <w:pageBreakBefore/>
      <w:spacing w:line="259" w:lineRule="auto"/>
      <w:jc w:val="left"/>
    </w:pPr>
    <w:rPr>
      <w:rFonts w:cs="Times New Roman"/>
      <w:b/>
      <w:i/>
      <w:color w:val="77206D" w:themeColor="accent5" w:themeShade="BF"/>
      <w:kern w:val="0"/>
      <w:sz w:val="28"/>
      <w14:ligatures w14:val="none"/>
    </w:rPr>
  </w:style>
  <w:style w:type="character" w:customStyle="1" w:styleId="treguesistyleChar">
    <w:name w:val="treguesi_style Char"/>
    <w:basedOn w:val="DefaultParagraphFont"/>
    <w:link w:val="treguesistyle"/>
    <w:rPr>
      <w:rFonts w:ascii="Times New Roman" w:hAnsi="Times New Roman" w:cs="Times New Roman"/>
      <w:b/>
      <w:i/>
      <w:color w:val="0F4761" w:themeColor="accent1" w:themeShade="BF"/>
      <w:kern w:val="0"/>
      <w:sz w:val="28"/>
      <w14:ligatures w14:val="none"/>
    </w:rPr>
  </w:style>
  <w:style w:type="character" w:customStyle="1" w:styleId="tedhenastyleChar">
    <w:name w:val="te_dhena_style Char"/>
    <w:basedOn w:val="DefaultParagraphFont"/>
    <w:link w:val="tedhenastyle"/>
    <w:rPr>
      <w:rFonts w:ascii="Times New Roman" w:hAnsi="Times New Roman" w:cs="Times New Roman"/>
      <w:b/>
      <w:i/>
      <w:color w:val="77206D" w:themeColor="accent5" w:themeShade="BF"/>
      <w:kern w:val="0"/>
      <w:sz w:val="28"/>
      <w14:ligatures w14:val="none"/>
    </w:rPr>
  </w:style>
  <w:style w:type="paragraph" w:customStyle="1" w:styleId="paragraphstyle">
    <w:name w:val="paragraph_style"/>
    <w:basedOn w:val="Normal"/>
    <w:link w:val="paragraphstyleChar"/>
    <w:qFormat/>
    <w:pPr>
      <w:spacing w:line="259" w:lineRule="auto"/>
    </w:pPr>
    <w:rPr>
      <w:b/>
      <w:i/>
      <w:kern w:val="0"/>
      <w:sz w:val="22"/>
      <w:szCs w:val="22"/>
      <w14:ligatures w14:val="none"/>
    </w:rPr>
  </w:style>
  <w:style w:type="character" w:customStyle="1" w:styleId="paragraphstyleChar">
    <w:name w:val="paragraph_style Char"/>
    <w:basedOn w:val="DefaultParagraphFont"/>
    <w:link w:val="paragraphstyle"/>
    <w:rPr>
      <w:rFonts w:ascii="Times New Roman" w:hAnsi="Times New Roman"/>
      <w:b/>
      <w:i/>
      <w:kern w:val="0"/>
      <w:sz w:val="22"/>
      <w:szCs w:val="22"/>
      <w14:ligatures w14:val="none"/>
    </w:rPr>
  </w:style>
  <w:style w:type="table" w:styleId="TableGrid">
    <w:name w:val="Table Grid"/>
    <w:basedOn w:val="TableNormal"/>
    <w:uiPriority w:val="59"/>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icatorNameStyle">
    <w:name w:val="indicatorNameStyle"/>
    <w:basedOn w:val="Normal"/>
    <w:link w:val="indicatorNameStyleChar"/>
    <w:qFormat/>
    <w:pPr>
      <w:numPr>
        <w:numId w:val="2"/>
      </w:numPr>
      <w:spacing w:after="0" w:line="259" w:lineRule="auto"/>
      <w:jc w:val="left"/>
    </w:pPr>
    <w:rPr>
      <w:b/>
      <w:color w:val="0F4761" w:themeColor="accent1" w:themeShade="BF"/>
      <w:kern w:val="0"/>
      <w:sz w:val="28"/>
      <w:szCs w:val="22"/>
      <w14:ligatures w14:val="none"/>
    </w:rPr>
  </w:style>
  <w:style w:type="character" w:customStyle="1" w:styleId="indicatorNameStyleChar">
    <w:name w:val="indicatorNameStyle Char"/>
    <w:basedOn w:val="DefaultParagraphFont"/>
    <w:link w:val="indicatorNameStyle"/>
    <w:rPr>
      <w:rFonts w:ascii="Times New Roman" w:hAnsi="Times New Roman"/>
      <w:b/>
      <w:color w:val="0F4761" w:themeColor="accent1" w:themeShade="BF"/>
      <w:kern w:val="0"/>
      <w:sz w:val="28"/>
      <w:szCs w:val="22"/>
      <w14:ligatures w14:val="none"/>
    </w:rPr>
  </w:style>
  <w:style w:type="paragraph" w:customStyle="1" w:styleId="StyleofText">
    <w:name w:val="StyleofText"/>
    <w:basedOn w:val="Normal"/>
    <w:link w:val="StyleofTextChar"/>
    <w:qFormat/>
    <w:pPr>
      <w:spacing w:after="0" w:line="259" w:lineRule="auto"/>
      <w:jc w:val="left"/>
    </w:pPr>
    <w:rPr>
      <w:kern w:val="0"/>
      <w:sz w:val="22"/>
      <w:szCs w:val="22"/>
      <w14:ligatures w14:val="none"/>
    </w:rPr>
  </w:style>
  <w:style w:type="character" w:customStyle="1" w:styleId="StyleofTextChar">
    <w:name w:val="StyleofText Char"/>
    <w:basedOn w:val="DefaultParagraphFont"/>
    <w:link w:val="StyleofText"/>
    <w:rPr>
      <w:rFonts w:ascii="Times New Roman" w:hAnsi="Times New Roman"/>
      <w:kern w:val="0"/>
      <w:sz w:val="22"/>
      <w:szCs w:val="22"/>
      <w14:ligatures w14:val="none"/>
    </w:rPr>
  </w:style>
  <w:style w:type="paragraph" w:customStyle="1" w:styleId="dataNameStyle">
    <w:name w:val="dataNameStyle"/>
    <w:basedOn w:val="Heading4"/>
    <w:link w:val="dataNameStyleChar"/>
    <w:qFormat/>
    <w:pPr>
      <w:numPr>
        <w:numId w:val="4"/>
      </w:numPr>
      <w:spacing w:before="40" w:after="0" w:line="259" w:lineRule="auto"/>
      <w:jc w:val="left"/>
    </w:pPr>
    <w:rPr>
      <w:kern w:val="0"/>
      <w:szCs w:val="22"/>
      <w14:ligatures w14:val="none"/>
    </w:rPr>
  </w:style>
  <w:style w:type="character" w:customStyle="1" w:styleId="dataNameStyleChar">
    <w:name w:val="dataNameStyle Char"/>
    <w:basedOn w:val="DefaultParagraphFont"/>
    <w:link w:val="dataNameStyle"/>
    <w:rPr>
      <w:rFonts w:ascii="Times New Roman" w:eastAsiaTheme="majorEastAsia" w:hAnsi="Times New Roman" w:cstheme="majorBidi"/>
      <w:i/>
      <w:iCs/>
      <w:color w:val="0F4761" w:themeColor="accent1" w:themeShade="BF"/>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534474">
      <w:bodyDiv w:val="1"/>
      <w:marLeft w:val="0"/>
      <w:marRight w:val="0"/>
      <w:marTop w:val="0"/>
      <w:marBottom w:val="0"/>
      <w:divBdr>
        <w:top w:val="none" w:sz="0" w:space="0" w:color="auto"/>
        <w:left w:val="none" w:sz="0" w:space="0" w:color="auto"/>
        <w:bottom w:val="none" w:sz="0" w:space="0" w:color="auto"/>
        <w:right w:val="none" w:sz="0" w:space="0" w:color="auto"/>
      </w:divBdr>
    </w:div>
    <w:div w:id="84307068">
      <w:bodyDiv w:val="1"/>
      <w:marLeft w:val="0"/>
      <w:marRight w:val="0"/>
      <w:marTop w:val="0"/>
      <w:marBottom w:val="0"/>
      <w:divBdr>
        <w:top w:val="none" w:sz="0" w:space="0" w:color="auto"/>
        <w:left w:val="none" w:sz="0" w:space="0" w:color="auto"/>
        <w:bottom w:val="none" w:sz="0" w:space="0" w:color="auto"/>
        <w:right w:val="none" w:sz="0" w:space="0" w:color="auto"/>
      </w:divBdr>
    </w:div>
    <w:div w:id="110363014">
      <w:bodyDiv w:val="1"/>
      <w:marLeft w:val="0"/>
      <w:marRight w:val="0"/>
      <w:marTop w:val="0"/>
      <w:marBottom w:val="0"/>
      <w:divBdr>
        <w:top w:val="none" w:sz="0" w:space="0" w:color="auto"/>
        <w:left w:val="none" w:sz="0" w:space="0" w:color="auto"/>
        <w:bottom w:val="none" w:sz="0" w:space="0" w:color="auto"/>
        <w:right w:val="none" w:sz="0" w:space="0" w:color="auto"/>
      </w:divBdr>
    </w:div>
    <w:div w:id="124933181">
      <w:bodyDiv w:val="1"/>
      <w:marLeft w:val="0"/>
      <w:marRight w:val="0"/>
      <w:marTop w:val="0"/>
      <w:marBottom w:val="0"/>
      <w:divBdr>
        <w:top w:val="none" w:sz="0" w:space="0" w:color="auto"/>
        <w:left w:val="none" w:sz="0" w:space="0" w:color="auto"/>
        <w:bottom w:val="none" w:sz="0" w:space="0" w:color="auto"/>
        <w:right w:val="none" w:sz="0" w:space="0" w:color="auto"/>
      </w:divBdr>
    </w:div>
    <w:div w:id="125707873">
      <w:bodyDiv w:val="1"/>
      <w:marLeft w:val="0"/>
      <w:marRight w:val="0"/>
      <w:marTop w:val="0"/>
      <w:marBottom w:val="0"/>
      <w:divBdr>
        <w:top w:val="none" w:sz="0" w:space="0" w:color="auto"/>
        <w:left w:val="none" w:sz="0" w:space="0" w:color="auto"/>
        <w:bottom w:val="none" w:sz="0" w:space="0" w:color="auto"/>
        <w:right w:val="none" w:sz="0" w:space="0" w:color="auto"/>
      </w:divBdr>
    </w:div>
    <w:div w:id="135144118">
      <w:bodyDiv w:val="1"/>
      <w:marLeft w:val="0"/>
      <w:marRight w:val="0"/>
      <w:marTop w:val="0"/>
      <w:marBottom w:val="0"/>
      <w:divBdr>
        <w:top w:val="none" w:sz="0" w:space="0" w:color="auto"/>
        <w:left w:val="none" w:sz="0" w:space="0" w:color="auto"/>
        <w:bottom w:val="none" w:sz="0" w:space="0" w:color="auto"/>
        <w:right w:val="none" w:sz="0" w:space="0" w:color="auto"/>
      </w:divBdr>
    </w:div>
    <w:div w:id="151260064">
      <w:bodyDiv w:val="1"/>
      <w:marLeft w:val="0"/>
      <w:marRight w:val="0"/>
      <w:marTop w:val="0"/>
      <w:marBottom w:val="0"/>
      <w:divBdr>
        <w:top w:val="none" w:sz="0" w:space="0" w:color="auto"/>
        <w:left w:val="none" w:sz="0" w:space="0" w:color="auto"/>
        <w:bottom w:val="none" w:sz="0" w:space="0" w:color="auto"/>
        <w:right w:val="none" w:sz="0" w:space="0" w:color="auto"/>
      </w:divBdr>
    </w:div>
    <w:div w:id="156776155">
      <w:bodyDiv w:val="1"/>
      <w:marLeft w:val="0"/>
      <w:marRight w:val="0"/>
      <w:marTop w:val="0"/>
      <w:marBottom w:val="0"/>
      <w:divBdr>
        <w:top w:val="none" w:sz="0" w:space="0" w:color="auto"/>
        <w:left w:val="none" w:sz="0" w:space="0" w:color="auto"/>
        <w:bottom w:val="none" w:sz="0" w:space="0" w:color="auto"/>
        <w:right w:val="none" w:sz="0" w:space="0" w:color="auto"/>
      </w:divBdr>
    </w:div>
    <w:div w:id="156848422">
      <w:bodyDiv w:val="1"/>
      <w:marLeft w:val="0"/>
      <w:marRight w:val="0"/>
      <w:marTop w:val="0"/>
      <w:marBottom w:val="0"/>
      <w:divBdr>
        <w:top w:val="none" w:sz="0" w:space="0" w:color="auto"/>
        <w:left w:val="none" w:sz="0" w:space="0" w:color="auto"/>
        <w:bottom w:val="none" w:sz="0" w:space="0" w:color="auto"/>
        <w:right w:val="none" w:sz="0" w:space="0" w:color="auto"/>
      </w:divBdr>
    </w:div>
    <w:div w:id="179512371">
      <w:bodyDiv w:val="1"/>
      <w:marLeft w:val="0"/>
      <w:marRight w:val="0"/>
      <w:marTop w:val="0"/>
      <w:marBottom w:val="0"/>
      <w:divBdr>
        <w:top w:val="none" w:sz="0" w:space="0" w:color="auto"/>
        <w:left w:val="none" w:sz="0" w:space="0" w:color="auto"/>
        <w:bottom w:val="none" w:sz="0" w:space="0" w:color="auto"/>
        <w:right w:val="none" w:sz="0" w:space="0" w:color="auto"/>
      </w:divBdr>
    </w:div>
    <w:div w:id="249240198">
      <w:bodyDiv w:val="1"/>
      <w:marLeft w:val="0"/>
      <w:marRight w:val="0"/>
      <w:marTop w:val="0"/>
      <w:marBottom w:val="0"/>
      <w:divBdr>
        <w:top w:val="none" w:sz="0" w:space="0" w:color="auto"/>
        <w:left w:val="none" w:sz="0" w:space="0" w:color="auto"/>
        <w:bottom w:val="none" w:sz="0" w:space="0" w:color="auto"/>
        <w:right w:val="none" w:sz="0" w:space="0" w:color="auto"/>
      </w:divBdr>
    </w:div>
    <w:div w:id="259799376">
      <w:bodyDiv w:val="1"/>
      <w:marLeft w:val="0"/>
      <w:marRight w:val="0"/>
      <w:marTop w:val="0"/>
      <w:marBottom w:val="0"/>
      <w:divBdr>
        <w:top w:val="none" w:sz="0" w:space="0" w:color="auto"/>
        <w:left w:val="none" w:sz="0" w:space="0" w:color="auto"/>
        <w:bottom w:val="none" w:sz="0" w:space="0" w:color="auto"/>
        <w:right w:val="none" w:sz="0" w:space="0" w:color="auto"/>
      </w:divBdr>
    </w:div>
    <w:div w:id="311060383">
      <w:bodyDiv w:val="1"/>
      <w:marLeft w:val="0"/>
      <w:marRight w:val="0"/>
      <w:marTop w:val="0"/>
      <w:marBottom w:val="0"/>
      <w:divBdr>
        <w:top w:val="none" w:sz="0" w:space="0" w:color="auto"/>
        <w:left w:val="none" w:sz="0" w:space="0" w:color="auto"/>
        <w:bottom w:val="none" w:sz="0" w:space="0" w:color="auto"/>
        <w:right w:val="none" w:sz="0" w:space="0" w:color="auto"/>
      </w:divBdr>
    </w:div>
    <w:div w:id="311374052">
      <w:bodyDiv w:val="1"/>
      <w:marLeft w:val="0"/>
      <w:marRight w:val="0"/>
      <w:marTop w:val="0"/>
      <w:marBottom w:val="0"/>
      <w:divBdr>
        <w:top w:val="none" w:sz="0" w:space="0" w:color="auto"/>
        <w:left w:val="none" w:sz="0" w:space="0" w:color="auto"/>
        <w:bottom w:val="none" w:sz="0" w:space="0" w:color="auto"/>
        <w:right w:val="none" w:sz="0" w:space="0" w:color="auto"/>
      </w:divBdr>
    </w:div>
    <w:div w:id="327946871">
      <w:bodyDiv w:val="1"/>
      <w:marLeft w:val="0"/>
      <w:marRight w:val="0"/>
      <w:marTop w:val="0"/>
      <w:marBottom w:val="0"/>
      <w:divBdr>
        <w:top w:val="none" w:sz="0" w:space="0" w:color="auto"/>
        <w:left w:val="none" w:sz="0" w:space="0" w:color="auto"/>
        <w:bottom w:val="none" w:sz="0" w:space="0" w:color="auto"/>
        <w:right w:val="none" w:sz="0" w:space="0" w:color="auto"/>
      </w:divBdr>
    </w:div>
    <w:div w:id="366027226">
      <w:bodyDiv w:val="1"/>
      <w:marLeft w:val="0"/>
      <w:marRight w:val="0"/>
      <w:marTop w:val="0"/>
      <w:marBottom w:val="0"/>
      <w:divBdr>
        <w:top w:val="none" w:sz="0" w:space="0" w:color="auto"/>
        <w:left w:val="none" w:sz="0" w:space="0" w:color="auto"/>
        <w:bottom w:val="none" w:sz="0" w:space="0" w:color="auto"/>
        <w:right w:val="none" w:sz="0" w:space="0" w:color="auto"/>
      </w:divBdr>
    </w:div>
    <w:div w:id="385615752">
      <w:bodyDiv w:val="1"/>
      <w:marLeft w:val="0"/>
      <w:marRight w:val="0"/>
      <w:marTop w:val="0"/>
      <w:marBottom w:val="0"/>
      <w:divBdr>
        <w:top w:val="none" w:sz="0" w:space="0" w:color="auto"/>
        <w:left w:val="none" w:sz="0" w:space="0" w:color="auto"/>
        <w:bottom w:val="none" w:sz="0" w:space="0" w:color="auto"/>
        <w:right w:val="none" w:sz="0" w:space="0" w:color="auto"/>
      </w:divBdr>
    </w:div>
    <w:div w:id="406463652">
      <w:bodyDiv w:val="1"/>
      <w:marLeft w:val="0"/>
      <w:marRight w:val="0"/>
      <w:marTop w:val="0"/>
      <w:marBottom w:val="0"/>
      <w:divBdr>
        <w:top w:val="none" w:sz="0" w:space="0" w:color="auto"/>
        <w:left w:val="none" w:sz="0" w:space="0" w:color="auto"/>
        <w:bottom w:val="none" w:sz="0" w:space="0" w:color="auto"/>
        <w:right w:val="none" w:sz="0" w:space="0" w:color="auto"/>
      </w:divBdr>
    </w:div>
    <w:div w:id="458381277">
      <w:bodyDiv w:val="1"/>
      <w:marLeft w:val="0"/>
      <w:marRight w:val="0"/>
      <w:marTop w:val="0"/>
      <w:marBottom w:val="0"/>
      <w:divBdr>
        <w:top w:val="none" w:sz="0" w:space="0" w:color="auto"/>
        <w:left w:val="none" w:sz="0" w:space="0" w:color="auto"/>
        <w:bottom w:val="none" w:sz="0" w:space="0" w:color="auto"/>
        <w:right w:val="none" w:sz="0" w:space="0" w:color="auto"/>
      </w:divBdr>
    </w:div>
    <w:div w:id="502740741">
      <w:bodyDiv w:val="1"/>
      <w:marLeft w:val="0"/>
      <w:marRight w:val="0"/>
      <w:marTop w:val="0"/>
      <w:marBottom w:val="0"/>
      <w:divBdr>
        <w:top w:val="none" w:sz="0" w:space="0" w:color="auto"/>
        <w:left w:val="none" w:sz="0" w:space="0" w:color="auto"/>
        <w:bottom w:val="none" w:sz="0" w:space="0" w:color="auto"/>
        <w:right w:val="none" w:sz="0" w:space="0" w:color="auto"/>
      </w:divBdr>
    </w:div>
    <w:div w:id="516817133">
      <w:bodyDiv w:val="1"/>
      <w:marLeft w:val="0"/>
      <w:marRight w:val="0"/>
      <w:marTop w:val="0"/>
      <w:marBottom w:val="0"/>
      <w:divBdr>
        <w:top w:val="none" w:sz="0" w:space="0" w:color="auto"/>
        <w:left w:val="none" w:sz="0" w:space="0" w:color="auto"/>
        <w:bottom w:val="none" w:sz="0" w:space="0" w:color="auto"/>
        <w:right w:val="none" w:sz="0" w:space="0" w:color="auto"/>
      </w:divBdr>
    </w:div>
    <w:div w:id="517544583">
      <w:bodyDiv w:val="1"/>
      <w:marLeft w:val="0"/>
      <w:marRight w:val="0"/>
      <w:marTop w:val="0"/>
      <w:marBottom w:val="0"/>
      <w:divBdr>
        <w:top w:val="none" w:sz="0" w:space="0" w:color="auto"/>
        <w:left w:val="none" w:sz="0" w:space="0" w:color="auto"/>
        <w:bottom w:val="none" w:sz="0" w:space="0" w:color="auto"/>
        <w:right w:val="none" w:sz="0" w:space="0" w:color="auto"/>
      </w:divBdr>
    </w:div>
    <w:div w:id="520818967">
      <w:bodyDiv w:val="1"/>
      <w:marLeft w:val="0"/>
      <w:marRight w:val="0"/>
      <w:marTop w:val="0"/>
      <w:marBottom w:val="0"/>
      <w:divBdr>
        <w:top w:val="none" w:sz="0" w:space="0" w:color="auto"/>
        <w:left w:val="none" w:sz="0" w:space="0" w:color="auto"/>
        <w:bottom w:val="none" w:sz="0" w:space="0" w:color="auto"/>
        <w:right w:val="none" w:sz="0" w:space="0" w:color="auto"/>
      </w:divBdr>
    </w:div>
    <w:div w:id="523716405">
      <w:bodyDiv w:val="1"/>
      <w:marLeft w:val="0"/>
      <w:marRight w:val="0"/>
      <w:marTop w:val="0"/>
      <w:marBottom w:val="0"/>
      <w:divBdr>
        <w:top w:val="none" w:sz="0" w:space="0" w:color="auto"/>
        <w:left w:val="none" w:sz="0" w:space="0" w:color="auto"/>
        <w:bottom w:val="none" w:sz="0" w:space="0" w:color="auto"/>
        <w:right w:val="none" w:sz="0" w:space="0" w:color="auto"/>
      </w:divBdr>
    </w:div>
    <w:div w:id="535313174">
      <w:bodyDiv w:val="1"/>
      <w:marLeft w:val="0"/>
      <w:marRight w:val="0"/>
      <w:marTop w:val="0"/>
      <w:marBottom w:val="0"/>
      <w:divBdr>
        <w:top w:val="none" w:sz="0" w:space="0" w:color="auto"/>
        <w:left w:val="none" w:sz="0" w:space="0" w:color="auto"/>
        <w:bottom w:val="none" w:sz="0" w:space="0" w:color="auto"/>
        <w:right w:val="none" w:sz="0" w:space="0" w:color="auto"/>
      </w:divBdr>
    </w:div>
    <w:div w:id="557982491">
      <w:bodyDiv w:val="1"/>
      <w:marLeft w:val="0"/>
      <w:marRight w:val="0"/>
      <w:marTop w:val="0"/>
      <w:marBottom w:val="0"/>
      <w:divBdr>
        <w:top w:val="none" w:sz="0" w:space="0" w:color="auto"/>
        <w:left w:val="none" w:sz="0" w:space="0" w:color="auto"/>
        <w:bottom w:val="none" w:sz="0" w:space="0" w:color="auto"/>
        <w:right w:val="none" w:sz="0" w:space="0" w:color="auto"/>
      </w:divBdr>
    </w:div>
    <w:div w:id="572665856">
      <w:bodyDiv w:val="1"/>
      <w:marLeft w:val="0"/>
      <w:marRight w:val="0"/>
      <w:marTop w:val="0"/>
      <w:marBottom w:val="0"/>
      <w:divBdr>
        <w:top w:val="none" w:sz="0" w:space="0" w:color="auto"/>
        <w:left w:val="none" w:sz="0" w:space="0" w:color="auto"/>
        <w:bottom w:val="none" w:sz="0" w:space="0" w:color="auto"/>
        <w:right w:val="none" w:sz="0" w:space="0" w:color="auto"/>
      </w:divBdr>
    </w:div>
    <w:div w:id="579367475">
      <w:bodyDiv w:val="1"/>
      <w:marLeft w:val="0"/>
      <w:marRight w:val="0"/>
      <w:marTop w:val="0"/>
      <w:marBottom w:val="0"/>
      <w:divBdr>
        <w:top w:val="none" w:sz="0" w:space="0" w:color="auto"/>
        <w:left w:val="none" w:sz="0" w:space="0" w:color="auto"/>
        <w:bottom w:val="none" w:sz="0" w:space="0" w:color="auto"/>
        <w:right w:val="none" w:sz="0" w:space="0" w:color="auto"/>
      </w:divBdr>
    </w:div>
    <w:div w:id="631402850">
      <w:bodyDiv w:val="1"/>
      <w:marLeft w:val="0"/>
      <w:marRight w:val="0"/>
      <w:marTop w:val="0"/>
      <w:marBottom w:val="0"/>
      <w:divBdr>
        <w:top w:val="none" w:sz="0" w:space="0" w:color="auto"/>
        <w:left w:val="none" w:sz="0" w:space="0" w:color="auto"/>
        <w:bottom w:val="none" w:sz="0" w:space="0" w:color="auto"/>
        <w:right w:val="none" w:sz="0" w:space="0" w:color="auto"/>
      </w:divBdr>
    </w:div>
    <w:div w:id="641272580">
      <w:bodyDiv w:val="1"/>
      <w:marLeft w:val="0"/>
      <w:marRight w:val="0"/>
      <w:marTop w:val="0"/>
      <w:marBottom w:val="0"/>
      <w:divBdr>
        <w:top w:val="none" w:sz="0" w:space="0" w:color="auto"/>
        <w:left w:val="none" w:sz="0" w:space="0" w:color="auto"/>
        <w:bottom w:val="none" w:sz="0" w:space="0" w:color="auto"/>
        <w:right w:val="none" w:sz="0" w:space="0" w:color="auto"/>
      </w:divBdr>
    </w:div>
    <w:div w:id="641737316">
      <w:bodyDiv w:val="1"/>
      <w:marLeft w:val="0"/>
      <w:marRight w:val="0"/>
      <w:marTop w:val="0"/>
      <w:marBottom w:val="0"/>
      <w:divBdr>
        <w:top w:val="none" w:sz="0" w:space="0" w:color="auto"/>
        <w:left w:val="none" w:sz="0" w:space="0" w:color="auto"/>
        <w:bottom w:val="none" w:sz="0" w:space="0" w:color="auto"/>
        <w:right w:val="none" w:sz="0" w:space="0" w:color="auto"/>
      </w:divBdr>
    </w:div>
    <w:div w:id="681201237">
      <w:bodyDiv w:val="1"/>
      <w:marLeft w:val="0"/>
      <w:marRight w:val="0"/>
      <w:marTop w:val="0"/>
      <w:marBottom w:val="0"/>
      <w:divBdr>
        <w:top w:val="none" w:sz="0" w:space="0" w:color="auto"/>
        <w:left w:val="none" w:sz="0" w:space="0" w:color="auto"/>
        <w:bottom w:val="none" w:sz="0" w:space="0" w:color="auto"/>
        <w:right w:val="none" w:sz="0" w:space="0" w:color="auto"/>
      </w:divBdr>
    </w:div>
    <w:div w:id="753237715">
      <w:bodyDiv w:val="1"/>
      <w:marLeft w:val="0"/>
      <w:marRight w:val="0"/>
      <w:marTop w:val="0"/>
      <w:marBottom w:val="0"/>
      <w:divBdr>
        <w:top w:val="none" w:sz="0" w:space="0" w:color="auto"/>
        <w:left w:val="none" w:sz="0" w:space="0" w:color="auto"/>
        <w:bottom w:val="none" w:sz="0" w:space="0" w:color="auto"/>
        <w:right w:val="none" w:sz="0" w:space="0" w:color="auto"/>
      </w:divBdr>
    </w:div>
    <w:div w:id="760104755">
      <w:bodyDiv w:val="1"/>
      <w:marLeft w:val="0"/>
      <w:marRight w:val="0"/>
      <w:marTop w:val="0"/>
      <w:marBottom w:val="0"/>
      <w:divBdr>
        <w:top w:val="none" w:sz="0" w:space="0" w:color="auto"/>
        <w:left w:val="none" w:sz="0" w:space="0" w:color="auto"/>
        <w:bottom w:val="none" w:sz="0" w:space="0" w:color="auto"/>
        <w:right w:val="none" w:sz="0" w:space="0" w:color="auto"/>
      </w:divBdr>
    </w:div>
    <w:div w:id="765072990">
      <w:bodyDiv w:val="1"/>
      <w:marLeft w:val="0"/>
      <w:marRight w:val="0"/>
      <w:marTop w:val="0"/>
      <w:marBottom w:val="0"/>
      <w:divBdr>
        <w:top w:val="none" w:sz="0" w:space="0" w:color="auto"/>
        <w:left w:val="none" w:sz="0" w:space="0" w:color="auto"/>
        <w:bottom w:val="none" w:sz="0" w:space="0" w:color="auto"/>
        <w:right w:val="none" w:sz="0" w:space="0" w:color="auto"/>
      </w:divBdr>
    </w:div>
    <w:div w:id="789472547">
      <w:bodyDiv w:val="1"/>
      <w:marLeft w:val="0"/>
      <w:marRight w:val="0"/>
      <w:marTop w:val="0"/>
      <w:marBottom w:val="0"/>
      <w:divBdr>
        <w:top w:val="none" w:sz="0" w:space="0" w:color="auto"/>
        <w:left w:val="none" w:sz="0" w:space="0" w:color="auto"/>
        <w:bottom w:val="none" w:sz="0" w:space="0" w:color="auto"/>
        <w:right w:val="none" w:sz="0" w:space="0" w:color="auto"/>
      </w:divBdr>
    </w:div>
    <w:div w:id="797794226">
      <w:bodyDiv w:val="1"/>
      <w:marLeft w:val="0"/>
      <w:marRight w:val="0"/>
      <w:marTop w:val="0"/>
      <w:marBottom w:val="0"/>
      <w:divBdr>
        <w:top w:val="none" w:sz="0" w:space="0" w:color="auto"/>
        <w:left w:val="none" w:sz="0" w:space="0" w:color="auto"/>
        <w:bottom w:val="none" w:sz="0" w:space="0" w:color="auto"/>
        <w:right w:val="none" w:sz="0" w:space="0" w:color="auto"/>
      </w:divBdr>
    </w:div>
    <w:div w:id="878206757">
      <w:bodyDiv w:val="1"/>
      <w:marLeft w:val="0"/>
      <w:marRight w:val="0"/>
      <w:marTop w:val="0"/>
      <w:marBottom w:val="0"/>
      <w:divBdr>
        <w:top w:val="none" w:sz="0" w:space="0" w:color="auto"/>
        <w:left w:val="none" w:sz="0" w:space="0" w:color="auto"/>
        <w:bottom w:val="none" w:sz="0" w:space="0" w:color="auto"/>
        <w:right w:val="none" w:sz="0" w:space="0" w:color="auto"/>
      </w:divBdr>
    </w:div>
    <w:div w:id="993292857">
      <w:bodyDiv w:val="1"/>
      <w:marLeft w:val="0"/>
      <w:marRight w:val="0"/>
      <w:marTop w:val="0"/>
      <w:marBottom w:val="0"/>
      <w:divBdr>
        <w:top w:val="none" w:sz="0" w:space="0" w:color="auto"/>
        <w:left w:val="none" w:sz="0" w:space="0" w:color="auto"/>
        <w:bottom w:val="none" w:sz="0" w:space="0" w:color="auto"/>
        <w:right w:val="none" w:sz="0" w:space="0" w:color="auto"/>
      </w:divBdr>
    </w:div>
    <w:div w:id="1004551094">
      <w:bodyDiv w:val="1"/>
      <w:marLeft w:val="0"/>
      <w:marRight w:val="0"/>
      <w:marTop w:val="0"/>
      <w:marBottom w:val="0"/>
      <w:divBdr>
        <w:top w:val="none" w:sz="0" w:space="0" w:color="auto"/>
        <w:left w:val="none" w:sz="0" w:space="0" w:color="auto"/>
        <w:bottom w:val="none" w:sz="0" w:space="0" w:color="auto"/>
        <w:right w:val="none" w:sz="0" w:space="0" w:color="auto"/>
      </w:divBdr>
    </w:div>
    <w:div w:id="1011104222">
      <w:bodyDiv w:val="1"/>
      <w:marLeft w:val="0"/>
      <w:marRight w:val="0"/>
      <w:marTop w:val="0"/>
      <w:marBottom w:val="0"/>
      <w:divBdr>
        <w:top w:val="none" w:sz="0" w:space="0" w:color="auto"/>
        <w:left w:val="none" w:sz="0" w:space="0" w:color="auto"/>
        <w:bottom w:val="none" w:sz="0" w:space="0" w:color="auto"/>
        <w:right w:val="none" w:sz="0" w:space="0" w:color="auto"/>
      </w:divBdr>
    </w:div>
    <w:div w:id="1029836832">
      <w:bodyDiv w:val="1"/>
      <w:marLeft w:val="0"/>
      <w:marRight w:val="0"/>
      <w:marTop w:val="0"/>
      <w:marBottom w:val="0"/>
      <w:divBdr>
        <w:top w:val="none" w:sz="0" w:space="0" w:color="auto"/>
        <w:left w:val="none" w:sz="0" w:space="0" w:color="auto"/>
        <w:bottom w:val="none" w:sz="0" w:space="0" w:color="auto"/>
        <w:right w:val="none" w:sz="0" w:space="0" w:color="auto"/>
      </w:divBdr>
    </w:div>
    <w:div w:id="1066807284">
      <w:bodyDiv w:val="1"/>
      <w:marLeft w:val="0"/>
      <w:marRight w:val="0"/>
      <w:marTop w:val="0"/>
      <w:marBottom w:val="0"/>
      <w:divBdr>
        <w:top w:val="none" w:sz="0" w:space="0" w:color="auto"/>
        <w:left w:val="none" w:sz="0" w:space="0" w:color="auto"/>
        <w:bottom w:val="none" w:sz="0" w:space="0" w:color="auto"/>
        <w:right w:val="none" w:sz="0" w:space="0" w:color="auto"/>
      </w:divBdr>
    </w:div>
    <w:div w:id="1074668179">
      <w:bodyDiv w:val="1"/>
      <w:marLeft w:val="0"/>
      <w:marRight w:val="0"/>
      <w:marTop w:val="0"/>
      <w:marBottom w:val="0"/>
      <w:divBdr>
        <w:top w:val="none" w:sz="0" w:space="0" w:color="auto"/>
        <w:left w:val="none" w:sz="0" w:space="0" w:color="auto"/>
        <w:bottom w:val="none" w:sz="0" w:space="0" w:color="auto"/>
        <w:right w:val="none" w:sz="0" w:space="0" w:color="auto"/>
      </w:divBdr>
    </w:div>
    <w:div w:id="1085611420">
      <w:bodyDiv w:val="1"/>
      <w:marLeft w:val="0"/>
      <w:marRight w:val="0"/>
      <w:marTop w:val="0"/>
      <w:marBottom w:val="0"/>
      <w:divBdr>
        <w:top w:val="none" w:sz="0" w:space="0" w:color="auto"/>
        <w:left w:val="none" w:sz="0" w:space="0" w:color="auto"/>
        <w:bottom w:val="none" w:sz="0" w:space="0" w:color="auto"/>
        <w:right w:val="none" w:sz="0" w:space="0" w:color="auto"/>
      </w:divBdr>
    </w:div>
    <w:div w:id="1141769119">
      <w:bodyDiv w:val="1"/>
      <w:marLeft w:val="0"/>
      <w:marRight w:val="0"/>
      <w:marTop w:val="0"/>
      <w:marBottom w:val="0"/>
      <w:divBdr>
        <w:top w:val="none" w:sz="0" w:space="0" w:color="auto"/>
        <w:left w:val="none" w:sz="0" w:space="0" w:color="auto"/>
        <w:bottom w:val="none" w:sz="0" w:space="0" w:color="auto"/>
        <w:right w:val="none" w:sz="0" w:space="0" w:color="auto"/>
      </w:divBdr>
    </w:div>
    <w:div w:id="1156842645">
      <w:bodyDiv w:val="1"/>
      <w:marLeft w:val="0"/>
      <w:marRight w:val="0"/>
      <w:marTop w:val="0"/>
      <w:marBottom w:val="0"/>
      <w:divBdr>
        <w:top w:val="none" w:sz="0" w:space="0" w:color="auto"/>
        <w:left w:val="none" w:sz="0" w:space="0" w:color="auto"/>
        <w:bottom w:val="none" w:sz="0" w:space="0" w:color="auto"/>
        <w:right w:val="none" w:sz="0" w:space="0" w:color="auto"/>
      </w:divBdr>
    </w:div>
    <w:div w:id="1182669605">
      <w:bodyDiv w:val="1"/>
      <w:marLeft w:val="0"/>
      <w:marRight w:val="0"/>
      <w:marTop w:val="0"/>
      <w:marBottom w:val="0"/>
      <w:divBdr>
        <w:top w:val="none" w:sz="0" w:space="0" w:color="auto"/>
        <w:left w:val="none" w:sz="0" w:space="0" w:color="auto"/>
        <w:bottom w:val="none" w:sz="0" w:space="0" w:color="auto"/>
        <w:right w:val="none" w:sz="0" w:space="0" w:color="auto"/>
      </w:divBdr>
    </w:div>
    <w:div w:id="1207450155">
      <w:bodyDiv w:val="1"/>
      <w:marLeft w:val="0"/>
      <w:marRight w:val="0"/>
      <w:marTop w:val="0"/>
      <w:marBottom w:val="0"/>
      <w:divBdr>
        <w:top w:val="none" w:sz="0" w:space="0" w:color="auto"/>
        <w:left w:val="none" w:sz="0" w:space="0" w:color="auto"/>
        <w:bottom w:val="none" w:sz="0" w:space="0" w:color="auto"/>
        <w:right w:val="none" w:sz="0" w:space="0" w:color="auto"/>
      </w:divBdr>
    </w:div>
    <w:div w:id="1225676096">
      <w:bodyDiv w:val="1"/>
      <w:marLeft w:val="0"/>
      <w:marRight w:val="0"/>
      <w:marTop w:val="0"/>
      <w:marBottom w:val="0"/>
      <w:divBdr>
        <w:top w:val="none" w:sz="0" w:space="0" w:color="auto"/>
        <w:left w:val="none" w:sz="0" w:space="0" w:color="auto"/>
        <w:bottom w:val="none" w:sz="0" w:space="0" w:color="auto"/>
        <w:right w:val="none" w:sz="0" w:space="0" w:color="auto"/>
      </w:divBdr>
    </w:div>
    <w:div w:id="1255748089">
      <w:bodyDiv w:val="1"/>
      <w:marLeft w:val="0"/>
      <w:marRight w:val="0"/>
      <w:marTop w:val="0"/>
      <w:marBottom w:val="0"/>
      <w:divBdr>
        <w:top w:val="none" w:sz="0" w:space="0" w:color="auto"/>
        <w:left w:val="none" w:sz="0" w:space="0" w:color="auto"/>
        <w:bottom w:val="none" w:sz="0" w:space="0" w:color="auto"/>
        <w:right w:val="none" w:sz="0" w:space="0" w:color="auto"/>
      </w:divBdr>
    </w:div>
    <w:div w:id="1265772073">
      <w:bodyDiv w:val="1"/>
      <w:marLeft w:val="0"/>
      <w:marRight w:val="0"/>
      <w:marTop w:val="0"/>
      <w:marBottom w:val="0"/>
      <w:divBdr>
        <w:top w:val="none" w:sz="0" w:space="0" w:color="auto"/>
        <w:left w:val="none" w:sz="0" w:space="0" w:color="auto"/>
        <w:bottom w:val="none" w:sz="0" w:space="0" w:color="auto"/>
        <w:right w:val="none" w:sz="0" w:space="0" w:color="auto"/>
      </w:divBdr>
    </w:div>
    <w:div w:id="1303198230">
      <w:bodyDiv w:val="1"/>
      <w:marLeft w:val="0"/>
      <w:marRight w:val="0"/>
      <w:marTop w:val="0"/>
      <w:marBottom w:val="0"/>
      <w:divBdr>
        <w:top w:val="none" w:sz="0" w:space="0" w:color="auto"/>
        <w:left w:val="none" w:sz="0" w:space="0" w:color="auto"/>
        <w:bottom w:val="none" w:sz="0" w:space="0" w:color="auto"/>
        <w:right w:val="none" w:sz="0" w:space="0" w:color="auto"/>
      </w:divBdr>
    </w:div>
    <w:div w:id="1307934419">
      <w:bodyDiv w:val="1"/>
      <w:marLeft w:val="0"/>
      <w:marRight w:val="0"/>
      <w:marTop w:val="0"/>
      <w:marBottom w:val="0"/>
      <w:divBdr>
        <w:top w:val="none" w:sz="0" w:space="0" w:color="auto"/>
        <w:left w:val="none" w:sz="0" w:space="0" w:color="auto"/>
        <w:bottom w:val="none" w:sz="0" w:space="0" w:color="auto"/>
        <w:right w:val="none" w:sz="0" w:space="0" w:color="auto"/>
      </w:divBdr>
    </w:div>
    <w:div w:id="1448505579">
      <w:bodyDiv w:val="1"/>
      <w:marLeft w:val="0"/>
      <w:marRight w:val="0"/>
      <w:marTop w:val="0"/>
      <w:marBottom w:val="0"/>
      <w:divBdr>
        <w:top w:val="none" w:sz="0" w:space="0" w:color="auto"/>
        <w:left w:val="none" w:sz="0" w:space="0" w:color="auto"/>
        <w:bottom w:val="none" w:sz="0" w:space="0" w:color="auto"/>
        <w:right w:val="none" w:sz="0" w:space="0" w:color="auto"/>
      </w:divBdr>
    </w:div>
    <w:div w:id="1515654328">
      <w:bodyDiv w:val="1"/>
      <w:marLeft w:val="0"/>
      <w:marRight w:val="0"/>
      <w:marTop w:val="0"/>
      <w:marBottom w:val="0"/>
      <w:divBdr>
        <w:top w:val="none" w:sz="0" w:space="0" w:color="auto"/>
        <w:left w:val="none" w:sz="0" w:space="0" w:color="auto"/>
        <w:bottom w:val="none" w:sz="0" w:space="0" w:color="auto"/>
        <w:right w:val="none" w:sz="0" w:space="0" w:color="auto"/>
      </w:divBdr>
    </w:div>
    <w:div w:id="1524321589">
      <w:bodyDiv w:val="1"/>
      <w:marLeft w:val="0"/>
      <w:marRight w:val="0"/>
      <w:marTop w:val="0"/>
      <w:marBottom w:val="0"/>
      <w:divBdr>
        <w:top w:val="none" w:sz="0" w:space="0" w:color="auto"/>
        <w:left w:val="none" w:sz="0" w:space="0" w:color="auto"/>
        <w:bottom w:val="none" w:sz="0" w:space="0" w:color="auto"/>
        <w:right w:val="none" w:sz="0" w:space="0" w:color="auto"/>
      </w:divBdr>
    </w:div>
    <w:div w:id="1551114957">
      <w:bodyDiv w:val="1"/>
      <w:marLeft w:val="0"/>
      <w:marRight w:val="0"/>
      <w:marTop w:val="0"/>
      <w:marBottom w:val="0"/>
      <w:divBdr>
        <w:top w:val="none" w:sz="0" w:space="0" w:color="auto"/>
        <w:left w:val="none" w:sz="0" w:space="0" w:color="auto"/>
        <w:bottom w:val="none" w:sz="0" w:space="0" w:color="auto"/>
        <w:right w:val="none" w:sz="0" w:space="0" w:color="auto"/>
      </w:divBdr>
    </w:div>
    <w:div w:id="1596935375">
      <w:bodyDiv w:val="1"/>
      <w:marLeft w:val="0"/>
      <w:marRight w:val="0"/>
      <w:marTop w:val="0"/>
      <w:marBottom w:val="0"/>
      <w:divBdr>
        <w:top w:val="none" w:sz="0" w:space="0" w:color="auto"/>
        <w:left w:val="none" w:sz="0" w:space="0" w:color="auto"/>
        <w:bottom w:val="none" w:sz="0" w:space="0" w:color="auto"/>
        <w:right w:val="none" w:sz="0" w:space="0" w:color="auto"/>
      </w:divBdr>
    </w:div>
    <w:div w:id="1631478232">
      <w:bodyDiv w:val="1"/>
      <w:marLeft w:val="0"/>
      <w:marRight w:val="0"/>
      <w:marTop w:val="0"/>
      <w:marBottom w:val="0"/>
      <w:divBdr>
        <w:top w:val="none" w:sz="0" w:space="0" w:color="auto"/>
        <w:left w:val="none" w:sz="0" w:space="0" w:color="auto"/>
        <w:bottom w:val="none" w:sz="0" w:space="0" w:color="auto"/>
        <w:right w:val="none" w:sz="0" w:space="0" w:color="auto"/>
      </w:divBdr>
    </w:div>
    <w:div w:id="1673948016">
      <w:bodyDiv w:val="1"/>
      <w:marLeft w:val="0"/>
      <w:marRight w:val="0"/>
      <w:marTop w:val="0"/>
      <w:marBottom w:val="0"/>
      <w:divBdr>
        <w:top w:val="none" w:sz="0" w:space="0" w:color="auto"/>
        <w:left w:val="none" w:sz="0" w:space="0" w:color="auto"/>
        <w:bottom w:val="none" w:sz="0" w:space="0" w:color="auto"/>
        <w:right w:val="none" w:sz="0" w:space="0" w:color="auto"/>
      </w:divBdr>
    </w:div>
    <w:div w:id="1703896050">
      <w:bodyDiv w:val="1"/>
      <w:marLeft w:val="0"/>
      <w:marRight w:val="0"/>
      <w:marTop w:val="0"/>
      <w:marBottom w:val="0"/>
      <w:divBdr>
        <w:top w:val="none" w:sz="0" w:space="0" w:color="auto"/>
        <w:left w:val="none" w:sz="0" w:space="0" w:color="auto"/>
        <w:bottom w:val="none" w:sz="0" w:space="0" w:color="auto"/>
        <w:right w:val="none" w:sz="0" w:space="0" w:color="auto"/>
      </w:divBdr>
    </w:div>
    <w:div w:id="1769962667">
      <w:bodyDiv w:val="1"/>
      <w:marLeft w:val="0"/>
      <w:marRight w:val="0"/>
      <w:marTop w:val="0"/>
      <w:marBottom w:val="0"/>
      <w:divBdr>
        <w:top w:val="none" w:sz="0" w:space="0" w:color="auto"/>
        <w:left w:val="none" w:sz="0" w:space="0" w:color="auto"/>
        <w:bottom w:val="none" w:sz="0" w:space="0" w:color="auto"/>
        <w:right w:val="none" w:sz="0" w:space="0" w:color="auto"/>
      </w:divBdr>
    </w:div>
    <w:div w:id="1774353116">
      <w:bodyDiv w:val="1"/>
      <w:marLeft w:val="0"/>
      <w:marRight w:val="0"/>
      <w:marTop w:val="0"/>
      <w:marBottom w:val="0"/>
      <w:divBdr>
        <w:top w:val="none" w:sz="0" w:space="0" w:color="auto"/>
        <w:left w:val="none" w:sz="0" w:space="0" w:color="auto"/>
        <w:bottom w:val="none" w:sz="0" w:space="0" w:color="auto"/>
        <w:right w:val="none" w:sz="0" w:space="0" w:color="auto"/>
      </w:divBdr>
    </w:div>
    <w:div w:id="1793478877">
      <w:bodyDiv w:val="1"/>
      <w:marLeft w:val="0"/>
      <w:marRight w:val="0"/>
      <w:marTop w:val="0"/>
      <w:marBottom w:val="0"/>
      <w:divBdr>
        <w:top w:val="none" w:sz="0" w:space="0" w:color="auto"/>
        <w:left w:val="none" w:sz="0" w:space="0" w:color="auto"/>
        <w:bottom w:val="none" w:sz="0" w:space="0" w:color="auto"/>
        <w:right w:val="none" w:sz="0" w:space="0" w:color="auto"/>
      </w:divBdr>
    </w:div>
    <w:div w:id="1799640565">
      <w:bodyDiv w:val="1"/>
      <w:marLeft w:val="0"/>
      <w:marRight w:val="0"/>
      <w:marTop w:val="0"/>
      <w:marBottom w:val="0"/>
      <w:divBdr>
        <w:top w:val="none" w:sz="0" w:space="0" w:color="auto"/>
        <w:left w:val="none" w:sz="0" w:space="0" w:color="auto"/>
        <w:bottom w:val="none" w:sz="0" w:space="0" w:color="auto"/>
        <w:right w:val="none" w:sz="0" w:space="0" w:color="auto"/>
      </w:divBdr>
    </w:div>
    <w:div w:id="1801457232">
      <w:bodyDiv w:val="1"/>
      <w:marLeft w:val="0"/>
      <w:marRight w:val="0"/>
      <w:marTop w:val="0"/>
      <w:marBottom w:val="0"/>
      <w:divBdr>
        <w:top w:val="none" w:sz="0" w:space="0" w:color="auto"/>
        <w:left w:val="none" w:sz="0" w:space="0" w:color="auto"/>
        <w:bottom w:val="none" w:sz="0" w:space="0" w:color="auto"/>
        <w:right w:val="none" w:sz="0" w:space="0" w:color="auto"/>
      </w:divBdr>
    </w:div>
    <w:div w:id="1817335727">
      <w:bodyDiv w:val="1"/>
      <w:marLeft w:val="0"/>
      <w:marRight w:val="0"/>
      <w:marTop w:val="0"/>
      <w:marBottom w:val="0"/>
      <w:divBdr>
        <w:top w:val="none" w:sz="0" w:space="0" w:color="auto"/>
        <w:left w:val="none" w:sz="0" w:space="0" w:color="auto"/>
        <w:bottom w:val="none" w:sz="0" w:space="0" w:color="auto"/>
        <w:right w:val="none" w:sz="0" w:space="0" w:color="auto"/>
      </w:divBdr>
    </w:div>
    <w:div w:id="1891185296">
      <w:bodyDiv w:val="1"/>
      <w:marLeft w:val="0"/>
      <w:marRight w:val="0"/>
      <w:marTop w:val="0"/>
      <w:marBottom w:val="0"/>
      <w:divBdr>
        <w:top w:val="none" w:sz="0" w:space="0" w:color="auto"/>
        <w:left w:val="none" w:sz="0" w:space="0" w:color="auto"/>
        <w:bottom w:val="none" w:sz="0" w:space="0" w:color="auto"/>
        <w:right w:val="none" w:sz="0" w:space="0" w:color="auto"/>
      </w:divBdr>
    </w:div>
    <w:div w:id="1892307294">
      <w:bodyDiv w:val="1"/>
      <w:marLeft w:val="0"/>
      <w:marRight w:val="0"/>
      <w:marTop w:val="0"/>
      <w:marBottom w:val="0"/>
      <w:divBdr>
        <w:top w:val="none" w:sz="0" w:space="0" w:color="auto"/>
        <w:left w:val="none" w:sz="0" w:space="0" w:color="auto"/>
        <w:bottom w:val="none" w:sz="0" w:space="0" w:color="auto"/>
        <w:right w:val="none" w:sz="0" w:space="0" w:color="auto"/>
      </w:divBdr>
    </w:div>
    <w:div w:id="1897550831">
      <w:bodyDiv w:val="1"/>
      <w:marLeft w:val="0"/>
      <w:marRight w:val="0"/>
      <w:marTop w:val="0"/>
      <w:marBottom w:val="0"/>
      <w:divBdr>
        <w:top w:val="none" w:sz="0" w:space="0" w:color="auto"/>
        <w:left w:val="none" w:sz="0" w:space="0" w:color="auto"/>
        <w:bottom w:val="none" w:sz="0" w:space="0" w:color="auto"/>
        <w:right w:val="none" w:sz="0" w:space="0" w:color="auto"/>
      </w:divBdr>
    </w:div>
    <w:div w:id="1901865419">
      <w:bodyDiv w:val="1"/>
      <w:marLeft w:val="0"/>
      <w:marRight w:val="0"/>
      <w:marTop w:val="0"/>
      <w:marBottom w:val="0"/>
      <w:divBdr>
        <w:top w:val="none" w:sz="0" w:space="0" w:color="auto"/>
        <w:left w:val="none" w:sz="0" w:space="0" w:color="auto"/>
        <w:bottom w:val="none" w:sz="0" w:space="0" w:color="auto"/>
        <w:right w:val="none" w:sz="0" w:space="0" w:color="auto"/>
      </w:divBdr>
    </w:div>
    <w:div w:id="1912618753">
      <w:bodyDiv w:val="1"/>
      <w:marLeft w:val="0"/>
      <w:marRight w:val="0"/>
      <w:marTop w:val="0"/>
      <w:marBottom w:val="0"/>
      <w:divBdr>
        <w:top w:val="none" w:sz="0" w:space="0" w:color="auto"/>
        <w:left w:val="none" w:sz="0" w:space="0" w:color="auto"/>
        <w:bottom w:val="none" w:sz="0" w:space="0" w:color="auto"/>
        <w:right w:val="none" w:sz="0" w:space="0" w:color="auto"/>
      </w:divBdr>
    </w:div>
    <w:div w:id="1933707257">
      <w:bodyDiv w:val="1"/>
      <w:marLeft w:val="0"/>
      <w:marRight w:val="0"/>
      <w:marTop w:val="0"/>
      <w:marBottom w:val="0"/>
      <w:divBdr>
        <w:top w:val="none" w:sz="0" w:space="0" w:color="auto"/>
        <w:left w:val="none" w:sz="0" w:space="0" w:color="auto"/>
        <w:bottom w:val="none" w:sz="0" w:space="0" w:color="auto"/>
        <w:right w:val="none" w:sz="0" w:space="0" w:color="auto"/>
      </w:divBdr>
    </w:div>
    <w:div w:id="1964922448">
      <w:bodyDiv w:val="1"/>
      <w:marLeft w:val="0"/>
      <w:marRight w:val="0"/>
      <w:marTop w:val="0"/>
      <w:marBottom w:val="0"/>
      <w:divBdr>
        <w:top w:val="none" w:sz="0" w:space="0" w:color="auto"/>
        <w:left w:val="none" w:sz="0" w:space="0" w:color="auto"/>
        <w:bottom w:val="none" w:sz="0" w:space="0" w:color="auto"/>
        <w:right w:val="none" w:sz="0" w:space="0" w:color="auto"/>
      </w:divBdr>
    </w:div>
    <w:div w:id="1986664074">
      <w:bodyDiv w:val="1"/>
      <w:marLeft w:val="0"/>
      <w:marRight w:val="0"/>
      <w:marTop w:val="0"/>
      <w:marBottom w:val="0"/>
      <w:divBdr>
        <w:top w:val="none" w:sz="0" w:space="0" w:color="auto"/>
        <w:left w:val="none" w:sz="0" w:space="0" w:color="auto"/>
        <w:bottom w:val="none" w:sz="0" w:space="0" w:color="auto"/>
        <w:right w:val="none" w:sz="0" w:space="0" w:color="auto"/>
      </w:divBdr>
    </w:div>
    <w:div w:id="2005088952">
      <w:bodyDiv w:val="1"/>
      <w:marLeft w:val="0"/>
      <w:marRight w:val="0"/>
      <w:marTop w:val="0"/>
      <w:marBottom w:val="0"/>
      <w:divBdr>
        <w:top w:val="none" w:sz="0" w:space="0" w:color="auto"/>
        <w:left w:val="none" w:sz="0" w:space="0" w:color="auto"/>
        <w:bottom w:val="none" w:sz="0" w:space="0" w:color="auto"/>
        <w:right w:val="none" w:sz="0" w:space="0" w:color="auto"/>
      </w:divBdr>
    </w:div>
    <w:div w:id="2065523262">
      <w:bodyDiv w:val="1"/>
      <w:marLeft w:val="0"/>
      <w:marRight w:val="0"/>
      <w:marTop w:val="0"/>
      <w:marBottom w:val="0"/>
      <w:divBdr>
        <w:top w:val="none" w:sz="0" w:space="0" w:color="auto"/>
        <w:left w:val="none" w:sz="0" w:space="0" w:color="auto"/>
        <w:bottom w:val="none" w:sz="0" w:space="0" w:color="auto"/>
        <w:right w:val="none" w:sz="0" w:space="0" w:color="auto"/>
      </w:divBdr>
    </w:div>
    <w:div w:id="2089501627">
      <w:bodyDiv w:val="1"/>
      <w:marLeft w:val="0"/>
      <w:marRight w:val="0"/>
      <w:marTop w:val="0"/>
      <w:marBottom w:val="0"/>
      <w:divBdr>
        <w:top w:val="none" w:sz="0" w:space="0" w:color="auto"/>
        <w:left w:val="none" w:sz="0" w:space="0" w:color="auto"/>
        <w:bottom w:val="none" w:sz="0" w:space="0" w:color="auto"/>
        <w:right w:val="none" w:sz="0" w:space="0" w:color="auto"/>
      </w:divBdr>
    </w:div>
    <w:div w:id="2141216993">
      <w:bodyDiv w:val="1"/>
      <w:marLeft w:val="0"/>
      <w:marRight w:val="0"/>
      <w:marTop w:val="0"/>
      <w:marBottom w:val="0"/>
      <w:divBdr>
        <w:top w:val="none" w:sz="0" w:space="0" w:color="auto"/>
        <w:left w:val="none" w:sz="0" w:space="0" w:color="auto"/>
        <w:bottom w:val="none" w:sz="0" w:space="0" w:color="auto"/>
        <w:right w:val="none" w:sz="0" w:space="0" w:color="auto"/>
      </w:divBdr>
    </w:div>
    <w:div w:id="2142841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chart" Target="charts/chart36.xml"/><Relationship Id="rId21" Type="http://schemas.openxmlformats.org/officeDocument/2006/relationships/chart" Target="charts/chart4.xml"/><Relationship Id="rId42" Type="http://schemas.openxmlformats.org/officeDocument/2006/relationships/chart" Target="charts/chart12.xml"/><Relationship Id="rId47" Type="http://schemas.openxmlformats.org/officeDocument/2006/relationships/header" Target="header8.xml"/><Relationship Id="rId63" Type="http://schemas.openxmlformats.org/officeDocument/2006/relationships/header" Target="header11.xml"/><Relationship Id="rId68" Type="http://schemas.openxmlformats.org/officeDocument/2006/relationships/image" Target="media/image14.jpg"/><Relationship Id="rId84" Type="http://schemas.openxmlformats.org/officeDocument/2006/relationships/image" Target="media/image19.jpg"/><Relationship Id="rId89" Type="http://schemas.openxmlformats.org/officeDocument/2006/relationships/footer" Target="footer25.xml"/><Relationship Id="rId112" Type="http://schemas.openxmlformats.org/officeDocument/2006/relationships/chart" Target="charts/chart31.xml"/><Relationship Id="rId133" Type="http://schemas.openxmlformats.org/officeDocument/2006/relationships/footer" Target="footer35.xml"/><Relationship Id="rId138" Type="http://schemas.openxmlformats.org/officeDocument/2006/relationships/chart" Target="charts/chart45.xml"/><Relationship Id="rId154" Type="http://schemas.openxmlformats.org/officeDocument/2006/relationships/footer" Target="footer44.xml"/><Relationship Id="rId159" Type="http://schemas.openxmlformats.org/officeDocument/2006/relationships/chart" Target="charts/chart47.xml"/><Relationship Id="rId175" Type="http://schemas.openxmlformats.org/officeDocument/2006/relationships/chart" Target="charts/chart61.xml"/><Relationship Id="rId170" Type="http://schemas.openxmlformats.org/officeDocument/2006/relationships/chart" Target="charts/chart57.xml"/><Relationship Id="rId16" Type="http://schemas.openxmlformats.org/officeDocument/2006/relationships/image" Target="media/image8.jpg"/><Relationship Id="rId107" Type="http://schemas.openxmlformats.org/officeDocument/2006/relationships/footer" Target="footer29.xml"/><Relationship Id="rId11" Type="http://schemas.openxmlformats.org/officeDocument/2006/relationships/image" Target="media/image4.png"/><Relationship Id="rId32" Type="http://schemas.openxmlformats.org/officeDocument/2006/relationships/header" Target="header5.xml"/><Relationship Id="rId37" Type="http://schemas.openxmlformats.org/officeDocument/2006/relationships/image" Target="media/image11.jpg"/><Relationship Id="rId53" Type="http://schemas.openxmlformats.org/officeDocument/2006/relationships/footer" Target="footer11.xml"/><Relationship Id="rId58" Type="http://schemas.openxmlformats.org/officeDocument/2006/relationships/chart" Target="charts/chart16.xml"/><Relationship Id="rId74" Type="http://schemas.openxmlformats.org/officeDocument/2006/relationships/footer" Target="footer18.xml"/><Relationship Id="rId79" Type="http://schemas.openxmlformats.org/officeDocument/2006/relationships/header" Target="header15.xml"/><Relationship Id="rId102" Type="http://schemas.openxmlformats.org/officeDocument/2006/relationships/chart" Target="charts/chart27.xml"/><Relationship Id="rId123" Type="http://schemas.openxmlformats.org/officeDocument/2006/relationships/footer" Target="footer33.xml"/><Relationship Id="rId128" Type="http://schemas.openxmlformats.org/officeDocument/2006/relationships/chart" Target="charts/chart41.xml"/><Relationship Id="rId144" Type="http://schemas.openxmlformats.org/officeDocument/2006/relationships/header" Target="header28.xml"/><Relationship Id="rId149" Type="http://schemas.openxmlformats.org/officeDocument/2006/relationships/footer" Target="footer42.xml"/><Relationship Id="rId5" Type="http://schemas.openxmlformats.org/officeDocument/2006/relationships/settings" Target="settings.xml"/><Relationship Id="rId90" Type="http://schemas.openxmlformats.org/officeDocument/2006/relationships/image" Target="media/image20.jpg"/><Relationship Id="rId95" Type="http://schemas.openxmlformats.org/officeDocument/2006/relationships/footer" Target="footer27.xml"/><Relationship Id="rId160" Type="http://schemas.openxmlformats.org/officeDocument/2006/relationships/chart" Target="charts/chart48.xml"/><Relationship Id="rId165" Type="http://schemas.openxmlformats.org/officeDocument/2006/relationships/chart" Target="charts/chart52.xml"/><Relationship Id="rId22" Type="http://schemas.openxmlformats.org/officeDocument/2006/relationships/header" Target="header2.xml"/><Relationship Id="rId27" Type="http://schemas.openxmlformats.org/officeDocument/2006/relationships/image" Target="media/image10.jpg"/><Relationship Id="rId43" Type="http://schemas.openxmlformats.org/officeDocument/2006/relationships/chart" Target="charts/chart13.xml"/><Relationship Id="rId48" Type="http://schemas.openxmlformats.org/officeDocument/2006/relationships/footer" Target="footer10.xml"/><Relationship Id="rId64" Type="http://schemas.openxmlformats.org/officeDocument/2006/relationships/footer" Target="footer14.xml"/><Relationship Id="rId69" Type="http://schemas.openxmlformats.org/officeDocument/2006/relationships/image" Target="media/image15.png"/><Relationship Id="rId113" Type="http://schemas.openxmlformats.org/officeDocument/2006/relationships/chart" Target="charts/chart32.xml"/><Relationship Id="rId118" Type="http://schemas.openxmlformats.org/officeDocument/2006/relationships/chart" Target="charts/chart37.xml"/><Relationship Id="rId134" Type="http://schemas.openxmlformats.org/officeDocument/2006/relationships/footer" Target="footer36.xml"/><Relationship Id="rId139" Type="http://schemas.openxmlformats.org/officeDocument/2006/relationships/image" Target="media/image25.png"/><Relationship Id="rId80" Type="http://schemas.openxmlformats.org/officeDocument/2006/relationships/footer" Target="footer20.xml"/><Relationship Id="rId85" Type="http://schemas.openxmlformats.org/officeDocument/2006/relationships/header" Target="header17.xml"/><Relationship Id="rId150" Type="http://schemas.openxmlformats.org/officeDocument/2006/relationships/header" Target="header30.xml"/><Relationship Id="rId155" Type="http://schemas.openxmlformats.org/officeDocument/2006/relationships/footer" Target="footer45.xml"/><Relationship Id="rId171" Type="http://schemas.openxmlformats.org/officeDocument/2006/relationships/image" Target="media/image30.png"/><Relationship Id="rId176" Type="http://schemas.openxmlformats.org/officeDocument/2006/relationships/chart" Target="charts/chart62.xml"/><Relationship Id="rId12" Type="http://schemas.openxmlformats.org/officeDocument/2006/relationships/image" Target="media/image5.png"/><Relationship Id="rId17" Type="http://schemas.openxmlformats.org/officeDocument/2006/relationships/chart" Target="charts/chart1.xml"/><Relationship Id="rId33" Type="http://schemas.openxmlformats.org/officeDocument/2006/relationships/footer" Target="footer5.xml"/><Relationship Id="rId38" Type="http://schemas.openxmlformats.org/officeDocument/2006/relationships/chart" Target="charts/chart8.xml"/><Relationship Id="rId59" Type="http://schemas.openxmlformats.org/officeDocument/2006/relationships/chart" Target="charts/chart17.xml"/><Relationship Id="rId103" Type="http://schemas.openxmlformats.org/officeDocument/2006/relationships/chart" Target="charts/chart28.xml"/><Relationship Id="rId108" Type="http://schemas.openxmlformats.org/officeDocument/2006/relationships/footer" Target="footer30.xml"/><Relationship Id="rId124" Type="http://schemas.openxmlformats.org/officeDocument/2006/relationships/header" Target="header24.xml"/><Relationship Id="rId129" Type="http://schemas.openxmlformats.org/officeDocument/2006/relationships/chart" Target="charts/chart42.xml"/><Relationship Id="rId54" Type="http://schemas.openxmlformats.org/officeDocument/2006/relationships/footer" Target="footer12.xml"/><Relationship Id="rId70" Type="http://schemas.openxmlformats.org/officeDocument/2006/relationships/image" Target="media/image16.png"/><Relationship Id="rId75" Type="http://schemas.openxmlformats.org/officeDocument/2006/relationships/header" Target="header14.xml"/><Relationship Id="rId91" Type="http://schemas.openxmlformats.org/officeDocument/2006/relationships/chart" Target="charts/chart22.xml"/><Relationship Id="rId96" Type="http://schemas.openxmlformats.org/officeDocument/2006/relationships/header" Target="header20.xml"/><Relationship Id="rId140" Type="http://schemas.openxmlformats.org/officeDocument/2006/relationships/chart" Target="charts/chart46.xml"/><Relationship Id="rId145" Type="http://schemas.openxmlformats.org/officeDocument/2006/relationships/footer" Target="footer40.xml"/><Relationship Id="rId161" Type="http://schemas.openxmlformats.org/officeDocument/2006/relationships/chart" Target="charts/chart49.xml"/><Relationship Id="rId166" Type="http://schemas.openxmlformats.org/officeDocument/2006/relationships/chart" Target="charts/chart5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2.xml"/><Relationship Id="rId28" Type="http://schemas.openxmlformats.org/officeDocument/2006/relationships/header" Target="header4.xml"/><Relationship Id="rId49" Type="http://schemas.openxmlformats.org/officeDocument/2006/relationships/image" Target="media/image12.jpg"/><Relationship Id="rId114" Type="http://schemas.openxmlformats.org/officeDocument/2006/relationships/chart" Target="charts/chart33.xml"/><Relationship Id="rId119" Type="http://schemas.openxmlformats.org/officeDocument/2006/relationships/chart" Target="charts/chart38.xml"/><Relationship Id="rId10" Type="http://schemas.openxmlformats.org/officeDocument/2006/relationships/image" Target="media/image3.png"/><Relationship Id="rId31" Type="http://schemas.openxmlformats.org/officeDocument/2006/relationships/chart" Target="charts/chart7.xml"/><Relationship Id="rId44" Type="http://schemas.openxmlformats.org/officeDocument/2006/relationships/header" Target="header7.xml"/><Relationship Id="rId52" Type="http://schemas.openxmlformats.org/officeDocument/2006/relationships/header" Target="header9.xml"/><Relationship Id="rId60" Type="http://schemas.openxmlformats.org/officeDocument/2006/relationships/chart" Target="charts/chart18.xml"/><Relationship Id="rId65" Type="http://schemas.openxmlformats.org/officeDocument/2006/relationships/footer" Target="footer15.xml"/><Relationship Id="rId73" Type="http://schemas.openxmlformats.org/officeDocument/2006/relationships/footer" Target="footer17.xml"/><Relationship Id="rId78" Type="http://schemas.openxmlformats.org/officeDocument/2006/relationships/chart" Target="charts/chart21.xml"/><Relationship Id="rId81" Type="http://schemas.openxmlformats.org/officeDocument/2006/relationships/footer" Target="footer21.xml"/><Relationship Id="rId86" Type="http://schemas.openxmlformats.org/officeDocument/2006/relationships/footer" Target="footer23.xml"/><Relationship Id="rId94" Type="http://schemas.openxmlformats.org/officeDocument/2006/relationships/footer" Target="footer26.xml"/><Relationship Id="rId99" Type="http://schemas.openxmlformats.org/officeDocument/2006/relationships/chart" Target="charts/chart24.xml"/><Relationship Id="rId101" Type="http://schemas.openxmlformats.org/officeDocument/2006/relationships/chart" Target="charts/chart26.xml"/><Relationship Id="rId122" Type="http://schemas.openxmlformats.org/officeDocument/2006/relationships/footer" Target="footer32.xml"/><Relationship Id="rId130" Type="http://schemas.openxmlformats.org/officeDocument/2006/relationships/chart" Target="charts/chart43.xml"/><Relationship Id="rId135" Type="http://schemas.openxmlformats.org/officeDocument/2006/relationships/header" Target="header26.xml"/><Relationship Id="rId143" Type="http://schemas.openxmlformats.org/officeDocument/2006/relationships/footer" Target="footer39.xml"/><Relationship Id="rId148" Type="http://schemas.openxmlformats.org/officeDocument/2006/relationships/footer" Target="footer41.xml"/><Relationship Id="rId151" Type="http://schemas.openxmlformats.org/officeDocument/2006/relationships/footer" Target="footer43.xml"/><Relationship Id="rId156" Type="http://schemas.openxmlformats.org/officeDocument/2006/relationships/header" Target="header32.xml"/><Relationship Id="rId164" Type="http://schemas.openxmlformats.org/officeDocument/2006/relationships/chart" Target="charts/chart51.xml"/><Relationship Id="rId169" Type="http://schemas.openxmlformats.org/officeDocument/2006/relationships/chart" Target="charts/chart56.xml"/><Relationship Id="rId177" Type="http://schemas.openxmlformats.org/officeDocument/2006/relationships/header" Target="header33.xml"/><Relationship Id="rId4" Type="http://schemas.openxmlformats.org/officeDocument/2006/relationships/styles" Target="styles.xml"/><Relationship Id="rId9" Type="http://schemas.openxmlformats.org/officeDocument/2006/relationships/image" Target="media/image2.jpeg"/><Relationship Id="rId172" Type="http://schemas.openxmlformats.org/officeDocument/2006/relationships/chart" Target="charts/chart58.xml"/><Relationship Id="rId13" Type="http://schemas.openxmlformats.org/officeDocument/2006/relationships/image" Target="media/image6.jpg"/><Relationship Id="rId18" Type="http://schemas.openxmlformats.org/officeDocument/2006/relationships/image" Target="media/image9.png"/><Relationship Id="rId39" Type="http://schemas.openxmlformats.org/officeDocument/2006/relationships/chart" Target="charts/chart9.xml"/><Relationship Id="rId109" Type="http://schemas.openxmlformats.org/officeDocument/2006/relationships/header" Target="header22.xml"/><Relationship Id="rId34" Type="http://schemas.openxmlformats.org/officeDocument/2006/relationships/footer" Target="footer6.xml"/><Relationship Id="rId50" Type="http://schemas.openxmlformats.org/officeDocument/2006/relationships/chart" Target="charts/chart14.xml"/><Relationship Id="rId55" Type="http://schemas.openxmlformats.org/officeDocument/2006/relationships/header" Target="header10.xml"/><Relationship Id="rId76" Type="http://schemas.openxmlformats.org/officeDocument/2006/relationships/footer" Target="footer19.xml"/><Relationship Id="rId97" Type="http://schemas.openxmlformats.org/officeDocument/2006/relationships/footer" Target="footer28.xml"/><Relationship Id="rId104" Type="http://schemas.openxmlformats.org/officeDocument/2006/relationships/chart" Target="charts/chart29.xml"/><Relationship Id="rId120" Type="http://schemas.openxmlformats.org/officeDocument/2006/relationships/chart" Target="charts/chart39.xml"/><Relationship Id="rId125" Type="http://schemas.openxmlformats.org/officeDocument/2006/relationships/footer" Target="footer34.xml"/><Relationship Id="rId141" Type="http://schemas.openxmlformats.org/officeDocument/2006/relationships/header" Target="header27.xml"/><Relationship Id="rId146" Type="http://schemas.openxmlformats.org/officeDocument/2006/relationships/image" Target="media/image26.jpg"/><Relationship Id="rId167" Type="http://schemas.openxmlformats.org/officeDocument/2006/relationships/chart" Target="charts/chart54.xml"/><Relationship Id="rId7" Type="http://schemas.openxmlformats.org/officeDocument/2006/relationships/footnotes" Target="footnotes.xml"/><Relationship Id="rId71" Type="http://schemas.openxmlformats.org/officeDocument/2006/relationships/image" Target="media/image17.png"/><Relationship Id="rId92" Type="http://schemas.openxmlformats.org/officeDocument/2006/relationships/chart" Target="charts/chart23.xml"/><Relationship Id="rId162" Type="http://schemas.openxmlformats.org/officeDocument/2006/relationships/image" Target="media/image29.png"/><Relationship Id="rId2" Type="http://schemas.openxmlformats.org/officeDocument/2006/relationships/customXml" Target="../customXml/item2.xml"/><Relationship Id="rId29" Type="http://schemas.openxmlformats.org/officeDocument/2006/relationships/chart" Target="charts/chart5.xml"/><Relationship Id="rId24" Type="http://schemas.openxmlformats.org/officeDocument/2006/relationships/footer" Target="footer3.xml"/><Relationship Id="rId40" Type="http://schemas.openxmlformats.org/officeDocument/2006/relationships/chart" Target="charts/chart10.xml"/><Relationship Id="rId45" Type="http://schemas.openxmlformats.org/officeDocument/2006/relationships/footer" Target="footer8.xml"/><Relationship Id="rId66" Type="http://schemas.openxmlformats.org/officeDocument/2006/relationships/header" Target="header12.xml"/><Relationship Id="rId87" Type="http://schemas.openxmlformats.org/officeDocument/2006/relationships/footer" Target="footer24.xml"/><Relationship Id="rId110" Type="http://schemas.openxmlformats.org/officeDocument/2006/relationships/footer" Target="footer31.xml"/><Relationship Id="rId115" Type="http://schemas.openxmlformats.org/officeDocument/2006/relationships/chart" Target="charts/chart34.xml"/><Relationship Id="rId131" Type="http://schemas.openxmlformats.org/officeDocument/2006/relationships/chart" Target="charts/chart44.xml"/><Relationship Id="rId136" Type="http://schemas.openxmlformats.org/officeDocument/2006/relationships/footer" Target="footer37.xml"/><Relationship Id="rId157" Type="http://schemas.openxmlformats.org/officeDocument/2006/relationships/footer" Target="footer46.xml"/><Relationship Id="rId178" Type="http://schemas.openxmlformats.org/officeDocument/2006/relationships/fontTable" Target="fontTable.xml"/><Relationship Id="rId61" Type="http://schemas.openxmlformats.org/officeDocument/2006/relationships/chart" Target="charts/chart19.xml"/><Relationship Id="rId82" Type="http://schemas.openxmlformats.org/officeDocument/2006/relationships/header" Target="header16.xml"/><Relationship Id="rId152" Type="http://schemas.openxmlformats.org/officeDocument/2006/relationships/image" Target="media/image27.jpg"/><Relationship Id="rId173" Type="http://schemas.openxmlformats.org/officeDocument/2006/relationships/chart" Target="charts/chart59.xml"/><Relationship Id="rId19" Type="http://schemas.openxmlformats.org/officeDocument/2006/relationships/chart" Target="charts/chart2.xml"/><Relationship Id="rId14" Type="http://schemas.openxmlformats.org/officeDocument/2006/relationships/header" Target="header1.xml"/><Relationship Id="rId30" Type="http://schemas.openxmlformats.org/officeDocument/2006/relationships/chart" Target="charts/chart6.xml"/><Relationship Id="rId35" Type="http://schemas.openxmlformats.org/officeDocument/2006/relationships/header" Target="header6.xml"/><Relationship Id="rId56" Type="http://schemas.openxmlformats.org/officeDocument/2006/relationships/footer" Target="footer13.xml"/><Relationship Id="rId77" Type="http://schemas.openxmlformats.org/officeDocument/2006/relationships/image" Target="media/image18.jpg"/><Relationship Id="rId100" Type="http://schemas.openxmlformats.org/officeDocument/2006/relationships/chart" Target="charts/chart25.xml"/><Relationship Id="rId105" Type="http://schemas.openxmlformats.org/officeDocument/2006/relationships/chart" Target="charts/chart30.xml"/><Relationship Id="rId126" Type="http://schemas.openxmlformats.org/officeDocument/2006/relationships/image" Target="media/image23.jpg"/><Relationship Id="rId147" Type="http://schemas.openxmlformats.org/officeDocument/2006/relationships/header" Target="header29.xml"/><Relationship Id="rId168" Type="http://schemas.openxmlformats.org/officeDocument/2006/relationships/chart" Target="charts/chart55.xml"/><Relationship Id="rId8" Type="http://schemas.openxmlformats.org/officeDocument/2006/relationships/endnotes" Target="endnotes.xml"/><Relationship Id="rId51" Type="http://schemas.openxmlformats.org/officeDocument/2006/relationships/chart" Target="charts/chart15.xml"/><Relationship Id="rId72" Type="http://schemas.openxmlformats.org/officeDocument/2006/relationships/header" Target="header13.xml"/><Relationship Id="rId93" Type="http://schemas.openxmlformats.org/officeDocument/2006/relationships/header" Target="header19.xml"/><Relationship Id="rId98" Type="http://schemas.openxmlformats.org/officeDocument/2006/relationships/image" Target="media/image21.jpg"/><Relationship Id="rId121" Type="http://schemas.openxmlformats.org/officeDocument/2006/relationships/header" Target="header23.xml"/><Relationship Id="rId142" Type="http://schemas.openxmlformats.org/officeDocument/2006/relationships/footer" Target="footer38.xml"/><Relationship Id="rId163" Type="http://schemas.openxmlformats.org/officeDocument/2006/relationships/chart" Target="charts/chart50.xml"/><Relationship Id="rId3" Type="http://schemas.openxmlformats.org/officeDocument/2006/relationships/numbering" Target="numbering.xml"/><Relationship Id="rId25" Type="http://schemas.openxmlformats.org/officeDocument/2006/relationships/header" Target="header3.xml"/><Relationship Id="rId46" Type="http://schemas.openxmlformats.org/officeDocument/2006/relationships/footer" Target="footer9.xml"/><Relationship Id="rId67" Type="http://schemas.openxmlformats.org/officeDocument/2006/relationships/footer" Target="footer16.xml"/><Relationship Id="rId116" Type="http://schemas.openxmlformats.org/officeDocument/2006/relationships/chart" Target="charts/chart35.xml"/><Relationship Id="rId137" Type="http://schemas.openxmlformats.org/officeDocument/2006/relationships/image" Target="media/image24.png"/><Relationship Id="rId158" Type="http://schemas.openxmlformats.org/officeDocument/2006/relationships/image" Target="media/image28.jpg"/><Relationship Id="rId20" Type="http://schemas.openxmlformats.org/officeDocument/2006/relationships/chart" Target="charts/chart3.xml"/><Relationship Id="rId41" Type="http://schemas.openxmlformats.org/officeDocument/2006/relationships/chart" Target="charts/chart11.xml"/><Relationship Id="rId62" Type="http://schemas.openxmlformats.org/officeDocument/2006/relationships/chart" Target="charts/chart20.xml"/><Relationship Id="rId83" Type="http://schemas.openxmlformats.org/officeDocument/2006/relationships/footer" Target="footer22.xml"/><Relationship Id="rId88" Type="http://schemas.openxmlformats.org/officeDocument/2006/relationships/header" Target="header18.xml"/><Relationship Id="rId111" Type="http://schemas.openxmlformats.org/officeDocument/2006/relationships/image" Target="media/image22.jpg"/><Relationship Id="rId132" Type="http://schemas.openxmlformats.org/officeDocument/2006/relationships/header" Target="header25.xml"/><Relationship Id="rId153" Type="http://schemas.openxmlformats.org/officeDocument/2006/relationships/header" Target="header31.xml"/><Relationship Id="rId174" Type="http://schemas.openxmlformats.org/officeDocument/2006/relationships/chart" Target="charts/chart60.xml"/><Relationship Id="rId179"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footer" Target="footer7.xml"/><Relationship Id="rId57" Type="http://schemas.openxmlformats.org/officeDocument/2006/relationships/image" Target="media/image13.jpg"/><Relationship Id="rId106" Type="http://schemas.openxmlformats.org/officeDocument/2006/relationships/header" Target="header21.xml"/><Relationship Id="rId127" Type="http://schemas.openxmlformats.org/officeDocument/2006/relationships/chart" Target="charts/chart40.xml"/></Relationships>
</file>

<file path=word/_rels/header1.xml.rels><?xml version="1.0" encoding="UTF-8" standalone="yes"?>
<Relationships xmlns="http://schemas.openxmlformats.org/package/2006/relationships"><Relationship Id="rId1" Type="http://schemas.openxmlformats.org/officeDocument/2006/relationships/image" Target="media/image7.bin"/></Relationships>
</file>

<file path=word/_rels/header33.xml.rels><?xml version="1.0" encoding="UTF-8" standalone="yes"?>
<Relationships xmlns="http://schemas.openxmlformats.org/package/2006/relationships"><Relationship Id="rId1" Type="http://schemas.openxmlformats.org/officeDocument/2006/relationships/image" Target="media/image7.bin"/></Relationships>
</file>

<file path=word/_rels/header4.xml.rels><?xml version="1.0" encoding="UTF-8" standalone="yes"?>
<Relationships xmlns="http://schemas.openxmlformats.org/package/2006/relationships"><Relationship Id="rId1" Type="http://schemas.openxmlformats.org/officeDocument/2006/relationships/image" Target="media/image7.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Përmirësimi i infrastrukturës në kopshte/shkolla</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22.22</c:v>
                </c:pt>
                <c:pt idx="1">
                  <c:v>38.89</c:v>
                </c:pt>
                <c:pt idx="2">
                  <c:v>11.11</c:v>
                </c:pt>
                <c:pt idx="3">
                  <c:v>11.11</c:v>
                </c:pt>
                <c:pt idx="4">
                  <c:v>11.11</c:v>
                </c:pt>
                <c:pt idx="5">
                  <c:v>11.11</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43820800"/>
        <c:axId val="120281856"/>
      </c:lineChart>
      <c:catAx>
        <c:axId val="14382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281856"/>
        <c:crosses val="autoZero"/>
        <c:auto val="1"/>
        <c:lblAlgn val="ctr"/>
        <c:lblOffset val="100"/>
        <c:noMultiLvlLbl val="0"/>
      </c:catAx>
      <c:valAx>
        <c:axId val="120281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2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Përmirësimi i rrjetit ujitës</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20.56</c:v>
                </c:pt>
                <c:pt idx="1">
                  <c:v>14.02</c:v>
                </c:pt>
                <c:pt idx="2">
                  <c:v>29.91</c:v>
                </c:pt>
                <c:pt idx="3">
                  <c:v>32.71</c:v>
                </c:pt>
                <c:pt idx="4">
                  <c:v>37.380000000000003</c:v>
                </c:pt>
                <c:pt idx="5">
                  <c:v>42.06</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47569664"/>
        <c:axId val="152252928"/>
      </c:lineChart>
      <c:catAx>
        <c:axId val="14756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52928"/>
        <c:crosses val="autoZero"/>
        <c:auto val="1"/>
        <c:lblAlgn val="ctr"/>
        <c:lblOffset val="100"/>
        <c:noMultiLvlLbl val="0"/>
      </c:catAx>
      <c:valAx>
        <c:axId val="15225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56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i familjeve fermere që përfitojnë nga shërbimi i ujitjes dhe kullimit</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740</c:v>
                </c:pt>
                <c:pt idx="1">
                  <c:v>1000</c:v>
                </c:pt>
                <c:pt idx="2">
                  <c:v>1660</c:v>
                </c:pt>
                <c:pt idx="3">
                  <c:v>1680</c:v>
                </c:pt>
                <c:pt idx="4">
                  <c:v>1700</c:v>
                </c:pt>
                <c:pt idx="5">
                  <c:v>1750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9067264"/>
        <c:axId val="152254656"/>
      </c:barChart>
      <c:catAx>
        <c:axId val="14906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54656"/>
        <c:crosses val="autoZero"/>
        <c:auto val="1"/>
        <c:lblAlgn val="ctr"/>
        <c:lblOffset val="100"/>
        <c:noMultiLvlLbl val="0"/>
      </c:catAx>
      <c:valAx>
        <c:axId val="15225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067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Rrjet ujitës i mirëmbajtur/pastruar në km</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22</c:v>
                </c:pt>
                <c:pt idx="1">
                  <c:v>15</c:v>
                </c:pt>
                <c:pt idx="2">
                  <c:v>32</c:v>
                </c:pt>
                <c:pt idx="3">
                  <c:v>35</c:v>
                </c:pt>
                <c:pt idx="4">
                  <c:v>40</c:v>
                </c:pt>
                <c:pt idx="5">
                  <c:v>45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27347712"/>
        <c:axId val="152255808"/>
      </c:barChart>
      <c:catAx>
        <c:axId val="12734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55808"/>
        <c:crosses val="autoZero"/>
        <c:auto val="1"/>
        <c:lblAlgn val="ctr"/>
        <c:lblOffset val="100"/>
        <c:noMultiLvlLbl val="0"/>
      </c:catAx>
      <c:valAx>
        <c:axId val="1522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4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Rrjet kullues i mirëmbajtur/pastruar në km</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55</c:v>
                </c:pt>
                <c:pt idx="1">
                  <c:v>60</c:v>
                </c:pt>
                <c:pt idx="2">
                  <c:v>62</c:v>
                </c:pt>
                <c:pt idx="3">
                  <c:v>65</c:v>
                </c:pt>
                <c:pt idx="4">
                  <c:v>70</c:v>
                </c:pt>
                <c:pt idx="5">
                  <c:v>75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7910656"/>
        <c:axId val="153841024"/>
      </c:barChart>
      <c:catAx>
        <c:axId val="14791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841024"/>
        <c:crosses val="autoZero"/>
        <c:auto val="1"/>
        <c:lblAlgn val="ctr"/>
        <c:lblOffset val="100"/>
        <c:noMultiLvlLbl val="0"/>
      </c:catAx>
      <c:valAx>
        <c:axId val="15384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91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Rritja e monitorimit të fondit pyjor dhe kullosor</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14.41</c:v>
                </c:pt>
                <c:pt idx="1">
                  <c:v>14.41</c:v>
                </c:pt>
                <c:pt idx="2">
                  <c:v>14.41</c:v>
                </c:pt>
                <c:pt idx="3">
                  <c:v>14.41</c:v>
                </c:pt>
                <c:pt idx="4">
                  <c:v>14.41</c:v>
                </c:pt>
                <c:pt idx="5">
                  <c:v>14.41</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4020352"/>
        <c:axId val="155862144"/>
      </c:lineChart>
      <c:catAx>
        <c:axId val="15402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862144"/>
        <c:crosses val="autoZero"/>
        <c:auto val="1"/>
        <c:lblAlgn val="ctr"/>
        <c:lblOffset val="100"/>
        <c:noMultiLvlLbl val="0"/>
      </c:catAx>
      <c:valAx>
        <c:axId val="155862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02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 per menaxhimin e fondit pyjor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1344000</c:v>
                </c:pt>
                <c:pt idx="1">
                  <c:v>1621000</c:v>
                </c:pt>
                <c:pt idx="2">
                  <c:v>3469000</c:v>
                </c:pt>
                <c:pt idx="3">
                  <c:v>1717000</c:v>
                </c:pt>
                <c:pt idx="4">
                  <c:v>1717000</c:v>
                </c:pt>
                <c:pt idx="5">
                  <c:v>1717000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27348224"/>
        <c:axId val="155863872"/>
      </c:barChart>
      <c:catAx>
        <c:axId val="12734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863872"/>
        <c:crosses val="autoZero"/>
        <c:auto val="1"/>
        <c:lblAlgn val="ctr"/>
        <c:lblOffset val="100"/>
        <c:noMultiLvlLbl val="0"/>
      </c:catAx>
      <c:valAx>
        <c:axId val="155863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4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Të ardhura nga tarifat për shërbimet shtesë nga zjarrfikësja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0</c:v>
                </c:pt>
                <c:pt idx="1">
                  <c:v>0</c:v>
                </c:pt>
                <c:pt idx="2">
                  <c:v>120000</c:v>
                </c:pt>
                <c:pt idx="3">
                  <c:v>100000</c:v>
                </c:pt>
                <c:pt idx="4">
                  <c:v>100000</c:v>
                </c:pt>
                <c:pt idx="5">
                  <c:v>100000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018816"/>
        <c:axId val="158870336"/>
      </c:barChart>
      <c:catAx>
        <c:axId val="15401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870336"/>
        <c:crosses val="autoZero"/>
        <c:auto val="1"/>
        <c:lblAlgn val="ctr"/>
        <c:lblOffset val="100"/>
        <c:noMultiLvlLbl val="0"/>
      </c:catAx>
      <c:valAx>
        <c:axId val="15887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01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Fikese zjarri te kolauduara dhe te vendosura ne institucioine</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20</c:v>
                </c:pt>
                <c:pt idx="1">
                  <c:v>20</c:v>
                </c:pt>
                <c:pt idx="2">
                  <c:v>20</c:v>
                </c:pt>
                <c:pt idx="3">
                  <c:v>20</c:v>
                </c:pt>
                <c:pt idx="4">
                  <c:v>20</c:v>
                </c:pt>
                <c:pt idx="5">
                  <c:v>20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45024"/>
        <c:axId val="164475968"/>
      </c:barChart>
      <c:catAx>
        <c:axId val="15494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475968"/>
        <c:crosses val="autoZero"/>
        <c:auto val="1"/>
        <c:lblAlgn val="ctr"/>
        <c:lblOffset val="100"/>
        <c:noMultiLvlLbl val="0"/>
      </c:catAx>
      <c:valAx>
        <c:axId val="16447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45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total i popullsisë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34000</c:v>
                </c:pt>
                <c:pt idx="1">
                  <c:v>34000</c:v>
                </c:pt>
                <c:pt idx="2">
                  <c:v>34000</c:v>
                </c:pt>
                <c:pt idx="3">
                  <c:v>34000</c:v>
                </c:pt>
                <c:pt idx="4">
                  <c:v>34000</c:v>
                </c:pt>
                <c:pt idx="5">
                  <c:v>34000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3821824"/>
        <c:axId val="164477696"/>
      </c:barChart>
      <c:catAx>
        <c:axId val="14382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477696"/>
        <c:crosses val="autoZero"/>
        <c:auto val="1"/>
        <c:lblAlgn val="ctr"/>
        <c:lblOffset val="100"/>
        <c:noMultiLvlLbl val="0"/>
      </c:catAx>
      <c:valAx>
        <c:axId val="164477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2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Total shpenzime për mzsh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11298999</c:v>
                </c:pt>
                <c:pt idx="1">
                  <c:v>12859000</c:v>
                </c:pt>
                <c:pt idx="2">
                  <c:v>13866000</c:v>
                </c:pt>
                <c:pt idx="3">
                  <c:v>13866000</c:v>
                </c:pt>
                <c:pt idx="4">
                  <c:v>13866000</c:v>
                </c:pt>
                <c:pt idx="5">
                  <c:v>13866000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415104"/>
        <c:axId val="217456640"/>
      </c:barChart>
      <c:catAx>
        <c:axId val="15441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56640"/>
        <c:crosses val="autoZero"/>
        <c:auto val="1"/>
        <c:lblAlgn val="ctr"/>
        <c:lblOffset val="100"/>
        <c:noMultiLvlLbl val="0"/>
      </c:catAx>
      <c:valAx>
        <c:axId val="217456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41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i mësuesve në sistemin e arsimit parashkollor</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33</c:v>
                </c:pt>
                <c:pt idx="1">
                  <c:v>33</c:v>
                </c:pt>
                <c:pt idx="2">
                  <c:v>33</c:v>
                </c:pt>
                <c:pt idx="3">
                  <c:v>33</c:v>
                </c:pt>
                <c:pt idx="4">
                  <c:v>33</c:v>
                </c:pt>
                <c:pt idx="5">
                  <c:v>33</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26169600"/>
        <c:axId val="126075456"/>
      </c:barChart>
      <c:catAx>
        <c:axId val="12616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075456"/>
        <c:crosses val="autoZero"/>
        <c:auto val="1"/>
        <c:lblAlgn val="ctr"/>
        <c:lblOffset val="100"/>
        <c:noMultiLvlLbl val="0"/>
      </c:catAx>
      <c:valAx>
        <c:axId val="12607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16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Raste të menaxhuara për shuarjen e zjarrit dhe shpëtimit nga MZSH</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45</c:v>
                </c:pt>
                <c:pt idx="1">
                  <c:v>92</c:v>
                </c:pt>
                <c:pt idx="2">
                  <c:v>130</c:v>
                </c:pt>
                <c:pt idx="3">
                  <c:v>140</c:v>
                </c:pt>
                <c:pt idx="4">
                  <c:v>140</c:v>
                </c:pt>
                <c:pt idx="5">
                  <c:v>140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45536"/>
        <c:axId val="217458368"/>
      </c:barChart>
      <c:catAx>
        <c:axId val="15494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58368"/>
        <c:crosses val="autoZero"/>
        <c:auto val="1"/>
        <c:lblAlgn val="ctr"/>
        <c:lblOffset val="100"/>
        <c:noMultiLvlLbl val="0"/>
      </c:catAx>
      <c:valAx>
        <c:axId val="21745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4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Numër personash të asistuar me pagesë invaliditeti dhe paaftësie</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936</c:v>
                </c:pt>
                <c:pt idx="1">
                  <c:v>891</c:v>
                </c:pt>
                <c:pt idx="2">
                  <c:v>965</c:v>
                </c:pt>
                <c:pt idx="3">
                  <c:v>975</c:v>
                </c:pt>
                <c:pt idx="4">
                  <c:v>990</c:v>
                </c:pt>
                <c:pt idx="5">
                  <c:v>1000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4259584"/>
        <c:axId val="217460096"/>
      </c:barChart>
      <c:catAx>
        <c:axId val="14425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60096"/>
        <c:crosses val="autoZero"/>
        <c:auto val="1"/>
        <c:lblAlgn val="ctr"/>
        <c:lblOffset val="100"/>
        <c:noMultiLvlLbl val="0"/>
      </c:catAx>
      <c:valAx>
        <c:axId val="21746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25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Rritja e mbulimit me shërbimin e ujit të pijshëm</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35.29</c:v>
                </c:pt>
                <c:pt idx="1">
                  <c:v>36.69</c:v>
                </c:pt>
                <c:pt idx="2">
                  <c:v>37.299999999999997</c:v>
                </c:pt>
                <c:pt idx="3">
                  <c:v>39.159999999999997</c:v>
                </c:pt>
                <c:pt idx="4">
                  <c:v>41.76</c:v>
                </c:pt>
                <c:pt idx="5">
                  <c:v>43.24</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47570176"/>
        <c:axId val="217461824"/>
      </c:lineChart>
      <c:catAx>
        <c:axId val="14757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61824"/>
        <c:crosses val="autoZero"/>
        <c:auto val="1"/>
        <c:lblAlgn val="ctr"/>
        <c:lblOffset val="100"/>
        <c:noMultiLvlLbl val="0"/>
      </c:catAx>
      <c:valAx>
        <c:axId val="217461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57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 për shërbimin e ujit të pijshëm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37324065</c:v>
                </c:pt>
                <c:pt idx="1">
                  <c:v>39225448</c:v>
                </c:pt>
                <c:pt idx="2">
                  <c:v>37264176</c:v>
                </c:pt>
                <c:pt idx="3">
                  <c:v>35400000</c:v>
                </c:pt>
                <c:pt idx="4">
                  <c:v>33600000</c:v>
                </c:pt>
                <c:pt idx="5">
                  <c:v>33600000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92640"/>
        <c:axId val="217463552"/>
      </c:barChart>
      <c:catAx>
        <c:axId val="15499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63552"/>
        <c:crosses val="autoZero"/>
        <c:auto val="1"/>
        <c:lblAlgn val="ctr"/>
        <c:lblOffset val="100"/>
        <c:noMultiLvlLbl val="0"/>
      </c:catAx>
      <c:valAx>
        <c:axId val="217463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Mbulimi me hapësira të gjelbërta</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0.5</c:v>
                </c:pt>
                <c:pt idx="1">
                  <c:v>0.59</c:v>
                </c:pt>
                <c:pt idx="2">
                  <c:v>0.59</c:v>
                </c:pt>
                <c:pt idx="3">
                  <c:v>0.65</c:v>
                </c:pt>
                <c:pt idx="4">
                  <c:v>0.65</c:v>
                </c:pt>
                <c:pt idx="5">
                  <c:v>0.79</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4994688"/>
        <c:axId val="217498752"/>
      </c:lineChart>
      <c:catAx>
        <c:axId val="15499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498752"/>
        <c:crosses val="autoZero"/>
        <c:auto val="1"/>
        <c:lblAlgn val="ctr"/>
        <c:lblOffset val="100"/>
        <c:noMultiLvlLbl val="0"/>
      </c:catAx>
      <c:valAx>
        <c:axId val="217498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Përmirësimi i efiçiencës së buxhetit të bashkisë për shërbimin e ndriçimit publik</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632173.91</c:v>
                </c:pt>
                <c:pt idx="1">
                  <c:v>601258.67000000004</c:v>
                </c:pt>
                <c:pt idx="2">
                  <c:v>682635.8</c:v>
                </c:pt>
                <c:pt idx="3">
                  <c:v>164199.87</c:v>
                </c:pt>
                <c:pt idx="4">
                  <c:v>197533.2</c:v>
                </c:pt>
                <c:pt idx="5">
                  <c:v>169314.17</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49075456"/>
        <c:axId val="217500480"/>
      </c:lineChart>
      <c:catAx>
        <c:axId val="14907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500480"/>
        <c:crosses val="autoZero"/>
        <c:auto val="1"/>
        <c:lblAlgn val="ctr"/>
        <c:lblOffset val="100"/>
        <c:noMultiLvlLbl val="0"/>
      </c:catAx>
      <c:valAx>
        <c:axId val="217500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07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 për ndriçimin e hapësirave publike (ne leke)</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14540000</c:v>
                </c:pt>
                <c:pt idx="1">
                  <c:v>16233984</c:v>
                </c:pt>
                <c:pt idx="2">
                  <c:v>20479074</c:v>
                </c:pt>
                <c:pt idx="3">
                  <c:v>4925996</c:v>
                </c:pt>
                <c:pt idx="4">
                  <c:v>5925996</c:v>
                </c:pt>
                <c:pt idx="5">
                  <c:v>5925996</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93664"/>
        <c:axId val="217502208"/>
      </c:barChart>
      <c:catAx>
        <c:axId val="15499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502208"/>
        <c:crosses val="autoZero"/>
        <c:auto val="1"/>
        <c:lblAlgn val="ctr"/>
        <c:lblOffset val="100"/>
        <c:noMultiLvlLbl val="0"/>
      </c:catAx>
      <c:valAx>
        <c:axId val="217502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Të ardhura nga tarifa e gjelbërimit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734000</c:v>
                </c:pt>
                <c:pt idx="1">
                  <c:v>1568000</c:v>
                </c:pt>
                <c:pt idx="2">
                  <c:v>4186000</c:v>
                </c:pt>
                <c:pt idx="3">
                  <c:v>4186000</c:v>
                </c:pt>
                <c:pt idx="4">
                  <c:v>4186000</c:v>
                </c:pt>
                <c:pt idx="5">
                  <c:v>4186000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95200"/>
        <c:axId val="217505088"/>
      </c:barChart>
      <c:catAx>
        <c:axId val="15499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505088"/>
        <c:crosses val="autoZero"/>
        <c:auto val="1"/>
        <c:lblAlgn val="ctr"/>
        <c:lblOffset val="100"/>
        <c:noMultiLvlLbl val="0"/>
      </c:catAx>
      <c:valAx>
        <c:axId val="21750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Sipërfaqe e varrezave publike e mirëmbajtur në vit në m2</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224844</c:v>
                </c:pt>
                <c:pt idx="1">
                  <c:v>224844</c:v>
                </c:pt>
                <c:pt idx="2">
                  <c:v>224844</c:v>
                </c:pt>
                <c:pt idx="3">
                  <c:v>224844</c:v>
                </c:pt>
                <c:pt idx="4">
                  <c:v>224844</c:v>
                </c:pt>
                <c:pt idx="5">
                  <c:v>224844</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641344"/>
        <c:axId val="222765632"/>
      </c:barChart>
      <c:catAx>
        <c:axId val="15564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765632"/>
        <c:crosses val="autoZero"/>
        <c:auto val="1"/>
        <c:lblAlgn val="ctr"/>
        <c:lblOffset val="100"/>
        <c:noMultiLvlLbl val="0"/>
      </c:catAx>
      <c:valAx>
        <c:axId val="222765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Sipërfaqe publike e ndriçuar e mirëmbajtur në vit në km2</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23</c:v>
                </c:pt>
                <c:pt idx="1">
                  <c:v>27</c:v>
                </c:pt>
                <c:pt idx="2">
                  <c:v>30</c:v>
                </c:pt>
                <c:pt idx="3">
                  <c:v>30</c:v>
                </c:pt>
                <c:pt idx="4">
                  <c:v>30</c:v>
                </c:pt>
                <c:pt idx="5">
                  <c:v>35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020864"/>
        <c:axId val="222767360"/>
      </c:barChart>
      <c:catAx>
        <c:axId val="15402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767360"/>
        <c:crosses val="autoZero"/>
        <c:auto val="1"/>
        <c:lblAlgn val="ctr"/>
        <c:lblOffset val="100"/>
        <c:noMultiLvlLbl val="0"/>
      </c:catAx>
      <c:valAx>
        <c:axId val="222767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02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Nxënës të regjistruar në arsimin 9-vjeçar</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2019</c:v>
                </c:pt>
                <c:pt idx="1">
                  <c:v>1667</c:v>
                </c:pt>
                <c:pt idx="2">
                  <c:v>2005</c:v>
                </c:pt>
                <c:pt idx="3">
                  <c:v>2005</c:v>
                </c:pt>
                <c:pt idx="4">
                  <c:v>2005</c:v>
                </c:pt>
                <c:pt idx="5">
                  <c:v>2005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31850240"/>
        <c:axId val="126078912"/>
      </c:barChart>
      <c:catAx>
        <c:axId val="13185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078912"/>
        <c:crosses val="autoZero"/>
        <c:auto val="1"/>
        <c:lblAlgn val="ctr"/>
        <c:lblOffset val="100"/>
        <c:noMultiLvlLbl val="0"/>
      </c:catAx>
      <c:valAx>
        <c:axId val="12607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85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Sipërfaqe publike e ndriçuar e mirëmbajtur në vit në km2</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23</c:v>
                </c:pt>
                <c:pt idx="1">
                  <c:v>27</c:v>
                </c:pt>
                <c:pt idx="2">
                  <c:v>30</c:v>
                </c:pt>
                <c:pt idx="3">
                  <c:v>30</c:v>
                </c:pt>
                <c:pt idx="4">
                  <c:v>30</c:v>
                </c:pt>
                <c:pt idx="5">
                  <c:v>35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639808"/>
        <c:axId val="222769088"/>
      </c:barChart>
      <c:catAx>
        <c:axId val="15563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769088"/>
        <c:crosses val="autoZero"/>
        <c:auto val="1"/>
        <c:lblAlgn val="ctr"/>
        <c:lblOffset val="100"/>
        <c:noMultiLvlLbl val="0"/>
      </c:catAx>
      <c:valAx>
        <c:axId val="22276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3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Mirëmbajtja e rrjetit rrugor</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20.36</c:v>
                </c:pt>
                <c:pt idx="1">
                  <c:v>23.4</c:v>
                </c:pt>
                <c:pt idx="2">
                  <c:v>26</c:v>
                </c:pt>
                <c:pt idx="3">
                  <c:v>27.73</c:v>
                </c:pt>
                <c:pt idx="4">
                  <c:v>28.16</c:v>
                </c:pt>
                <c:pt idx="5">
                  <c:v>28.6</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5943424"/>
        <c:axId val="222770816"/>
      </c:lineChart>
      <c:catAx>
        <c:axId val="15594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770816"/>
        <c:crosses val="autoZero"/>
        <c:auto val="1"/>
        <c:lblAlgn val="ctr"/>
        <c:lblOffset val="100"/>
        <c:noMultiLvlLbl val="0"/>
      </c:catAx>
      <c:valAx>
        <c:axId val="222770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4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Përmirësimi i  rrjetit rrugor qytetas dhe ndërqytetas</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5.42</c:v>
                </c:pt>
                <c:pt idx="1">
                  <c:v>4.7699999999999996</c:v>
                </c:pt>
                <c:pt idx="2">
                  <c:v>5.63</c:v>
                </c:pt>
                <c:pt idx="3">
                  <c:v>6.5</c:v>
                </c:pt>
                <c:pt idx="4">
                  <c:v>6.5</c:v>
                </c:pt>
                <c:pt idx="5">
                  <c:v>6.5</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4946048"/>
        <c:axId val="224166464"/>
      </c:lineChart>
      <c:catAx>
        <c:axId val="15494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166464"/>
        <c:crosses val="autoZero"/>
        <c:auto val="1"/>
        <c:lblAlgn val="ctr"/>
        <c:lblOffset val="100"/>
        <c:noMultiLvlLbl val="0"/>
      </c:catAx>
      <c:valAx>
        <c:axId val="22416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4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Rrjet rrugor i pajisur me sinjalistikë rrugore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6.93</c:v>
                </c:pt>
                <c:pt idx="1">
                  <c:v>5.2</c:v>
                </c:pt>
                <c:pt idx="2">
                  <c:v>6.5</c:v>
                </c:pt>
                <c:pt idx="3">
                  <c:v>4.33</c:v>
                </c:pt>
                <c:pt idx="4">
                  <c:v>5.2</c:v>
                </c:pt>
                <c:pt idx="5">
                  <c:v>5.63</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5642880"/>
        <c:axId val="224168192"/>
      </c:lineChart>
      <c:catAx>
        <c:axId val="15564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168192"/>
        <c:crosses val="autoZero"/>
        <c:auto val="1"/>
        <c:lblAlgn val="ctr"/>
        <c:lblOffset val="100"/>
        <c:noMultiLvlLbl val="0"/>
      </c:catAx>
      <c:valAx>
        <c:axId val="22416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4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Efiçienca e alokimit të buxhetit për përmirësimin e infrastrukturës rrugore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401126.52</c:v>
                </c:pt>
                <c:pt idx="1">
                  <c:v>389172.44</c:v>
                </c:pt>
                <c:pt idx="2">
                  <c:v>984012.13</c:v>
                </c:pt>
                <c:pt idx="3">
                  <c:v>910931.54</c:v>
                </c:pt>
                <c:pt idx="4">
                  <c:v>1118383.8799999999</c:v>
                </c:pt>
                <c:pt idx="5">
                  <c:v>1153275.56</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5943936"/>
        <c:axId val="224170496"/>
      </c:lineChart>
      <c:catAx>
        <c:axId val="15594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170496"/>
        <c:crosses val="autoZero"/>
        <c:auto val="1"/>
        <c:lblAlgn val="ctr"/>
        <c:lblOffset val="100"/>
        <c:noMultiLvlLbl val="0"/>
      </c:catAx>
      <c:valAx>
        <c:axId val="224170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43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i automjeteve të transportit publik ndërurban</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9</c:v>
                </c:pt>
                <c:pt idx="1">
                  <c:v>9</c:v>
                </c:pt>
                <c:pt idx="2">
                  <c:v>9</c:v>
                </c:pt>
                <c:pt idx="3">
                  <c:v>9</c:v>
                </c:pt>
                <c:pt idx="4">
                  <c:v>9</c:v>
                </c:pt>
                <c:pt idx="5">
                  <c:v>9</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46496"/>
        <c:axId val="240682112"/>
      </c:barChart>
      <c:catAx>
        <c:axId val="15594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682112"/>
        <c:crosses val="autoZero"/>
        <c:auto val="1"/>
        <c:lblAlgn val="ctr"/>
        <c:lblOffset val="100"/>
        <c:noMultiLvlLbl val="0"/>
      </c:catAx>
      <c:valAx>
        <c:axId val="24068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4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 për menaxhimin e rrjetit rrugor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92580000</c:v>
                </c:pt>
                <c:pt idx="1">
                  <c:v>89821000</c:v>
                </c:pt>
                <c:pt idx="2">
                  <c:v>227110000</c:v>
                </c:pt>
                <c:pt idx="3">
                  <c:v>210243000</c:v>
                </c:pt>
                <c:pt idx="4">
                  <c:v>258123000</c:v>
                </c:pt>
                <c:pt idx="5">
                  <c:v>266176000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46560"/>
        <c:axId val="241640000"/>
      </c:barChart>
      <c:catAx>
        <c:axId val="15494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40000"/>
        <c:crosses val="autoZero"/>
        <c:auto val="1"/>
        <c:lblAlgn val="ctr"/>
        <c:lblOffset val="100"/>
        <c:noMultiLvlLbl val="0"/>
      </c:catAx>
      <c:valAx>
        <c:axId val="24164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4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Gjatësia në km e rrjetit rrugor të mirëmbajtur në vit</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47</c:v>
                </c:pt>
                <c:pt idx="1">
                  <c:v>54</c:v>
                </c:pt>
                <c:pt idx="2">
                  <c:v>60</c:v>
                </c:pt>
                <c:pt idx="3">
                  <c:v>64</c:v>
                </c:pt>
                <c:pt idx="4">
                  <c:v>65</c:v>
                </c:pt>
                <c:pt idx="5">
                  <c:v>66</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45984"/>
        <c:axId val="241692608"/>
      </c:barChart>
      <c:catAx>
        <c:axId val="155945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92608"/>
        <c:crosses val="autoZero"/>
        <c:auto val="1"/>
        <c:lblAlgn val="ctr"/>
        <c:lblOffset val="100"/>
        <c:noMultiLvlLbl val="0"/>
      </c:catAx>
      <c:valAx>
        <c:axId val="241692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45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Gjatësia në km e rrjetit rrugor të shtruar (asfaltuar ose me çakull) në vit </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12.5</c:v>
                </c:pt>
                <c:pt idx="1">
                  <c:v>11</c:v>
                </c:pt>
                <c:pt idx="2">
                  <c:v>13</c:v>
                </c:pt>
                <c:pt idx="3">
                  <c:v>15</c:v>
                </c:pt>
                <c:pt idx="4">
                  <c:v>15</c:v>
                </c:pt>
                <c:pt idx="5">
                  <c:v>15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3872"/>
        <c:axId val="247424128"/>
      </c:barChart>
      <c:catAx>
        <c:axId val="15598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24128"/>
        <c:crosses val="autoZero"/>
        <c:auto val="1"/>
        <c:lblAlgn val="ctr"/>
        <c:lblOffset val="100"/>
        <c:noMultiLvlLbl val="0"/>
      </c:catAx>
      <c:valAx>
        <c:axId val="24742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Ura të mirëmbajtura</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3</c:v>
                </c:pt>
                <c:pt idx="1">
                  <c:v>12</c:v>
                </c:pt>
                <c:pt idx="2">
                  <c:v>17</c:v>
                </c:pt>
                <c:pt idx="3">
                  <c:v>17</c:v>
                </c:pt>
                <c:pt idx="4">
                  <c:v>17</c:v>
                </c:pt>
                <c:pt idx="5">
                  <c:v>17</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5920"/>
        <c:axId val="247427008"/>
      </c:barChart>
      <c:catAx>
        <c:axId val="15598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27008"/>
        <c:crosses val="autoZero"/>
        <c:auto val="1"/>
        <c:lblAlgn val="ctr"/>
        <c:lblOffset val="100"/>
        <c:noMultiLvlLbl val="0"/>
      </c:catAx>
      <c:valAx>
        <c:axId val="24742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Shpenzimet e programit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84833000</c:v>
                </c:pt>
                <c:pt idx="1">
                  <c:v>63507000</c:v>
                </c:pt>
                <c:pt idx="2">
                  <c:v>97552000</c:v>
                </c:pt>
                <c:pt idx="3">
                  <c:v>127362000</c:v>
                </c:pt>
                <c:pt idx="4">
                  <c:v>65136000</c:v>
                </c:pt>
                <c:pt idx="5">
                  <c:v>65136000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3821312"/>
        <c:axId val="126081216"/>
      </c:barChart>
      <c:catAx>
        <c:axId val="14382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081216"/>
        <c:crosses val="autoZero"/>
        <c:auto val="1"/>
        <c:lblAlgn val="ctr"/>
        <c:lblOffset val="100"/>
        <c:noMultiLvlLbl val="0"/>
      </c:catAx>
      <c:valAx>
        <c:axId val="126081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21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Rritja e të ardhurave nga lejet e zhvillimit (Të ardhurat mesatare për leje zhvillimi)</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93391.82</c:v>
                </c:pt>
                <c:pt idx="1">
                  <c:v>110941.18</c:v>
                </c:pt>
                <c:pt idx="2">
                  <c:v>100000</c:v>
                </c:pt>
                <c:pt idx="3">
                  <c:v>0</c:v>
                </c:pt>
                <c:pt idx="4">
                  <c:v>0</c:v>
                </c:pt>
                <c:pt idx="5">
                  <c:v>0</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4993152"/>
        <c:axId val="247428736"/>
      </c:lineChart>
      <c:catAx>
        <c:axId val="15499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28736"/>
        <c:crosses val="autoZero"/>
        <c:auto val="1"/>
        <c:lblAlgn val="ctr"/>
        <c:lblOffset val="100"/>
        <c:noMultiLvlLbl val="0"/>
      </c:catAx>
      <c:valAx>
        <c:axId val="247428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Të ardhurat nga lejet e zhvillimit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2054620</c:v>
                </c:pt>
                <c:pt idx="1">
                  <c:v>1886000</c:v>
                </c:pt>
                <c:pt idx="2">
                  <c:v>5000000</c:v>
                </c:pt>
                <c:pt idx="3">
                  <c:v>0</c:v>
                </c:pt>
                <c:pt idx="4">
                  <c:v>0</c:v>
                </c:pt>
                <c:pt idx="5">
                  <c:v>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5408"/>
        <c:axId val="247430464"/>
      </c:barChart>
      <c:catAx>
        <c:axId val="15598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30464"/>
        <c:crosses val="autoZero"/>
        <c:auto val="1"/>
        <c:lblAlgn val="ctr"/>
        <c:lblOffset val="100"/>
        <c:noMultiLvlLbl val="0"/>
      </c:catAx>
      <c:valAx>
        <c:axId val="247430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Te ardhurat e veta (realizimi faktik vjetor)</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237680000</c:v>
                </c:pt>
                <c:pt idx="1">
                  <c:v>272036000</c:v>
                </c:pt>
                <c:pt idx="2">
                  <c:v>4365410000</c:v>
                </c:pt>
                <c:pt idx="3">
                  <c:v>376958000</c:v>
                </c:pt>
                <c:pt idx="4">
                  <c:v>376958000</c:v>
                </c:pt>
                <c:pt idx="5">
                  <c:v>376958000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9903744"/>
        <c:axId val="266235264"/>
      </c:barChart>
      <c:catAx>
        <c:axId val="15990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235264"/>
        <c:crosses val="autoZero"/>
        <c:auto val="1"/>
        <c:lblAlgn val="ctr"/>
        <c:lblOffset val="100"/>
        <c:noMultiLvlLbl val="0"/>
      </c:catAx>
      <c:valAx>
        <c:axId val="26623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0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Leje të miratuara të zhvillimit që përputhen me planet e detajuara të zhvillimit</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22</c:v>
                </c:pt>
                <c:pt idx="1">
                  <c:v>17</c:v>
                </c:pt>
                <c:pt idx="2">
                  <c:v>50</c:v>
                </c:pt>
                <c:pt idx="3">
                  <c:v>0</c:v>
                </c:pt>
                <c:pt idx="4">
                  <c:v>0</c:v>
                </c:pt>
                <c:pt idx="5">
                  <c:v>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4995712"/>
        <c:axId val="266625600"/>
      </c:barChart>
      <c:catAx>
        <c:axId val="15499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625600"/>
        <c:crosses val="autoZero"/>
        <c:auto val="1"/>
        <c:lblAlgn val="ctr"/>
        <c:lblOffset val="100"/>
        <c:noMultiLvlLbl val="0"/>
      </c:catAx>
      <c:valAx>
        <c:axId val="266625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9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total i lejeve të zhvillimit të miratuara nga bashkia</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22</c:v>
                </c:pt>
                <c:pt idx="1">
                  <c:v>17</c:v>
                </c:pt>
                <c:pt idx="2">
                  <c:v>50</c:v>
                </c:pt>
                <c:pt idx="3">
                  <c:v>0</c:v>
                </c:pt>
                <c:pt idx="4">
                  <c:v>0</c:v>
                </c:pt>
                <c:pt idx="5">
                  <c:v>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7456"/>
        <c:axId val="266627904"/>
      </c:barChart>
      <c:catAx>
        <c:axId val="15598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627904"/>
        <c:crosses val="autoZero"/>
        <c:auto val="1"/>
        <c:lblAlgn val="ctr"/>
        <c:lblOffset val="100"/>
        <c:noMultiLvlLbl val="0"/>
      </c:catAx>
      <c:valAx>
        <c:axId val="266627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7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Punonjësit e policisë bashkiake janë të kualifikuar</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c:v>
                </c:pt>
                <c:pt idx="1">
                  <c:v>100</c:v>
                </c:pt>
                <c:pt idx="2">
                  <c:v>0</c:v>
                </c:pt>
                <c:pt idx="3">
                  <c:v>0</c:v>
                </c:pt>
                <c:pt idx="4">
                  <c:v>0</c:v>
                </c:pt>
                <c:pt idx="5">
                  <c:v>0</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9906304"/>
        <c:axId val="266629632"/>
      </c:lineChart>
      <c:catAx>
        <c:axId val="15990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629632"/>
        <c:crosses val="autoZero"/>
        <c:auto val="1"/>
        <c:lblAlgn val="ctr"/>
        <c:lblOffset val="100"/>
        <c:noMultiLvlLbl val="0"/>
      </c:catAx>
      <c:valAx>
        <c:axId val="26662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Shpenzimet e programit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4080000</c:v>
                </c:pt>
                <c:pt idx="1">
                  <c:v>4807000</c:v>
                </c:pt>
                <c:pt idx="2">
                  <c:v>5978000</c:v>
                </c:pt>
                <c:pt idx="3">
                  <c:v>6565000</c:v>
                </c:pt>
                <c:pt idx="4">
                  <c:v>6565000</c:v>
                </c:pt>
                <c:pt idx="5">
                  <c:v>6565000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642368"/>
        <c:axId val="266631360"/>
      </c:barChart>
      <c:catAx>
        <c:axId val="15564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631360"/>
        <c:crosses val="autoZero"/>
        <c:auto val="1"/>
        <c:lblAlgn val="ctr"/>
        <c:lblOffset val="100"/>
        <c:noMultiLvlLbl val="0"/>
      </c:catAx>
      <c:valAx>
        <c:axId val="266631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4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Numri i shfaqeve kulturore; evente artistike të mbështetura me fondet e bashkisë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6</c:v>
                </c:pt>
                <c:pt idx="1">
                  <c:v>5</c:v>
                </c:pt>
                <c:pt idx="2">
                  <c:v>6</c:v>
                </c:pt>
                <c:pt idx="3">
                  <c:v>6</c:v>
                </c:pt>
                <c:pt idx="4">
                  <c:v>6</c:v>
                </c:pt>
                <c:pt idx="5">
                  <c:v>6</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45472"/>
        <c:axId val="275924096"/>
      </c:barChart>
      <c:catAx>
        <c:axId val="15594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24096"/>
        <c:crosses val="autoZero"/>
        <c:auto val="1"/>
        <c:lblAlgn val="ctr"/>
        <c:lblOffset val="100"/>
        <c:noMultiLvlLbl val="0"/>
      </c:catAx>
      <c:valAx>
        <c:axId val="275924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45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Aktivitete për edukimin e brezit të ri</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52</c:v>
                </c:pt>
                <c:pt idx="1">
                  <c:v>22</c:v>
                </c:pt>
                <c:pt idx="2">
                  <c:v>20</c:v>
                </c:pt>
                <c:pt idx="3">
                  <c:v>25</c:v>
                </c:pt>
                <c:pt idx="4">
                  <c:v>25</c:v>
                </c:pt>
                <c:pt idx="5">
                  <c:v>25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62066432"/>
        <c:axId val="275929280"/>
      </c:barChart>
      <c:catAx>
        <c:axId val="16206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29280"/>
        <c:crosses val="autoZero"/>
        <c:auto val="1"/>
        <c:lblAlgn val="ctr"/>
        <c:lblOffset val="100"/>
        <c:noMultiLvlLbl val="0"/>
      </c:catAx>
      <c:valAx>
        <c:axId val="27592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06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Panaire të organizuara nga bashkia</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3</c:v>
                </c:pt>
                <c:pt idx="1">
                  <c:v>3</c:v>
                </c:pt>
                <c:pt idx="2">
                  <c:v>3</c:v>
                </c:pt>
                <c:pt idx="3">
                  <c:v>3</c:v>
                </c:pt>
                <c:pt idx="4">
                  <c:v>3</c:v>
                </c:pt>
                <c:pt idx="5">
                  <c:v>3</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4384"/>
        <c:axId val="297846464"/>
      </c:barChart>
      <c:catAx>
        <c:axId val="1559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846464"/>
        <c:crosses val="autoZero"/>
        <c:auto val="1"/>
        <c:lblAlgn val="ctr"/>
        <c:lblOffset val="100"/>
        <c:noMultiLvlLbl val="0"/>
      </c:catAx>
      <c:valAx>
        <c:axId val="29784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Përmirësimi i infrastrukturës në shkollat e mesme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50</c:v>
                </c:pt>
                <c:pt idx="1">
                  <c:v>0</c:v>
                </c:pt>
                <c:pt idx="2">
                  <c:v>50</c:v>
                </c:pt>
                <c:pt idx="3">
                  <c:v>50</c:v>
                </c:pt>
                <c:pt idx="4">
                  <c:v>50</c:v>
                </c:pt>
                <c:pt idx="5">
                  <c:v>50</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26170112"/>
        <c:axId val="144484032"/>
      </c:lineChart>
      <c:catAx>
        <c:axId val="12617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84032"/>
        <c:crosses val="autoZero"/>
        <c:auto val="1"/>
        <c:lblAlgn val="ctr"/>
        <c:lblOffset val="100"/>
        <c:noMultiLvlLbl val="0"/>
      </c:catAx>
      <c:valAx>
        <c:axId val="144484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17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Rritja e kapacitetit të punonjësve të bashkisë</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9.1999999999999993</c:v>
                </c:pt>
                <c:pt idx="1">
                  <c:v>11.58</c:v>
                </c:pt>
                <c:pt idx="2">
                  <c:v>17.600000000000001</c:v>
                </c:pt>
                <c:pt idx="3">
                  <c:v>17.600000000000001</c:v>
                </c:pt>
                <c:pt idx="4">
                  <c:v>17.600000000000001</c:v>
                </c:pt>
                <c:pt idx="5">
                  <c:v>17.600000000000001</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9907328"/>
        <c:axId val="297849344"/>
      </c:lineChart>
      <c:catAx>
        <c:axId val="15990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849344"/>
        <c:crosses val="autoZero"/>
        <c:auto val="1"/>
        <c:lblAlgn val="ctr"/>
        <c:lblOffset val="100"/>
        <c:noMultiLvlLbl val="0"/>
      </c:catAx>
      <c:valAx>
        <c:axId val="297849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0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Punonjësit e policisë bashkiake janë të kualifikuar</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c:v>
                </c:pt>
                <c:pt idx="1">
                  <c:v>100</c:v>
                </c:pt>
                <c:pt idx="2">
                  <c:v>0</c:v>
                </c:pt>
                <c:pt idx="3">
                  <c:v>0</c:v>
                </c:pt>
                <c:pt idx="4">
                  <c:v>0</c:v>
                </c:pt>
                <c:pt idx="5">
                  <c:v>0</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066944"/>
        <c:axId val="297851072"/>
      </c:lineChart>
      <c:catAx>
        <c:axId val="16206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851072"/>
        <c:crosses val="autoZero"/>
        <c:auto val="1"/>
        <c:lblAlgn val="ctr"/>
        <c:lblOffset val="100"/>
        <c:noMultiLvlLbl val="0"/>
      </c:catAx>
      <c:valAx>
        <c:axId val="297851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06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Te ardhurat e veta</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237681</c:v>
                </c:pt>
                <c:pt idx="1">
                  <c:v>272036</c:v>
                </c:pt>
                <c:pt idx="2">
                  <c:v>436541</c:v>
                </c:pt>
                <c:pt idx="3">
                  <c:v>376958</c:v>
                </c:pt>
                <c:pt idx="4">
                  <c:v>376958</c:v>
                </c:pt>
                <c:pt idx="5">
                  <c:v>376958</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62594816"/>
        <c:axId val="309212224"/>
      </c:barChart>
      <c:catAx>
        <c:axId val="16259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212224"/>
        <c:crosses val="autoZero"/>
        <c:auto val="1"/>
        <c:lblAlgn val="ctr"/>
        <c:lblOffset val="100"/>
        <c:noMultiLvlLbl val="0"/>
      </c:catAx>
      <c:valAx>
        <c:axId val="309212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59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Te ardhura nga taksa e pasurise</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106477</c:v>
                </c:pt>
                <c:pt idx="1">
                  <c:v>129944</c:v>
                </c:pt>
                <c:pt idx="2">
                  <c:v>132659</c:v>
                </c:pt>
                <c:pt idx="3">
                  <c:v>153542</c:v>
                </c:pt>
                <c:pt idx="4">
                  <c:v>153542</c:v>
                </c:pt>
                <c:pt idx="5">
                  <c:v>153542</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55986944"/>
        <c:axId val="309213952"/>
      </c:barChart>
      <c:catAx>
        <c:axId val="15598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213952"/>
        <c:crosses val="autoZero"/>
        <c:auto val="1"/>
        <c:lblAlgn val="ctr"/>
        <c:lblOffset val="100"/>
        <c:noMultiLvlLbl val="0"/>
      </c:catAx>
      <c:valAx>
        <c:axId val="30921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8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Te ardhura per fryme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7.36</c:v>
                </c:pt>
                <c:pt idx="1">
                  <c:v>8.36</c:v>
                </c:pt>
                <c:pt idx="2">
                  <c:v>17.45</c:v>
                </c:pt>
                <c:pt idx="3">
                  <c:v>11.53</c:v>
                </c:pt>
                <c:pt idx="4">
                  <c:v>11.53</c:v>
                </c:pt>
                <c:pt idx="5">
                  <c:v>11.53</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067968"/>
        <c:axId val="332726848"/>
      </c:lineChart>
      <c:catAx>
        <c:axId val="16206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26848"/>
        <c:crosses val="autoZero"/>
        <c:auto val="1"/>
        <c:lblAlgn val="ctr"/>
        <c:lblOffset val="100"/>
        <c:noMultiLvlLbl val="0"/>
      </c:catAx>
      <c:valAx>
        <c:axId val="332726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06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Te ardhurat nga taksa e pasurise ne raport me te ardhurat vendore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0.45</c:v>
                </c:pt>
                <c:pt idx="1">
                  <c:v>0.48</c:v>
                </c:pt>
                <c:pt idx="2">
                  <c:v>0.3</c:v>
                </c:pt>
                <c:pt idx="3">
                  <c:v>0.41</c:v>
                </c:pt>
                <c:pt idx="4">
                  <c:v>0.41</c:v>
                </c:pt>
                <c:pt idx="5">
                  <c:v>0.41</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597888"/>
        <c:axId val="332729152"/>
      </c:lineChart>
      <c:catAx>
        <c:axId val="16259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29152"/>
        <c:crosses val="autoZero"/>
        <c:auto val="1"/>
        <c:lblAlgn val="ctr"/>
        <c:lblOffset val="100"/>
        <c:noMultiLvlLbl val="0"/>
      </c:catAx>
      <c:valAx>
        <c:axId val="33272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59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Buxheti Total Fakt</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635574</c:v>
                </c:pt>
                <c:pt idx="1">
                  <c:v>457879</c:v>
                </c:pt>
                <c:pt idx="2">
                  <c:v>395155</c:v>
                </c:pt>
                <c:pt idx="3">
                  <c:v>396005</c:v>
                </c:pt>
                <c:pt idx="4">
                  <c:v>495292</c:v>
                </c:pt>
                <c:pt idx="5">
                  <c:v>363559</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62616320"/>
        <c:axId val="332731456"/>
      </c:barChart>
      <c:catAx>
        <c:axId val="16261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31456"/>
        <c:crosses val="autoZero"/>
        <c:auto val="1"/>
        <c:lblAlgn val="ctr"/>
        <c:lblOffset val="100"/>
        <c:noMultiLvlLbl val="0"/>
      </c:catAx>
      <c:valAx>
        <c:axId val="33273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16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Buxheti për frymë (në lekë)</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19.670000000000002</c:v>
                </c:pt>
                <c:pt idx="1">
                  <c:v>14.08</c:v>
                </c:pt>
                <c:pt idx="2">
                  <c:v>15.8</c:v>
                </c:pt>
                <c:pt idx="3">
                  <c:v>12.12</c:v>
                </c:pt>
                <c:pt idx="4">
                  <c:v>15.15</c:v>
                </c:pt>
                <c:pt idx="5">
                  <c:v>11.12</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59904256"/>
        <c:axId val="332733184"/>
      </c:lineChart>
      <c:catAx>
        <c:axId val="15990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33184"/>
        <c:crosses val="autoZero"/>
        <c:auto val="1"/>
        <c:lblAlgn val="ctr"/>
        <c:lblOffset val="100"/>
        <c:noMultiLvlLbl val="0"/>
      </c:catAx>
      <c:valAx>
        <c:axId val="33273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0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Kosto personeli ne buxhet(vlera e pagave dhe sigurimeve, honorare)</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188722</c:v>
                </c:pt>
                <c:pt idx="1">
                  <c:v>185469</c:v>
                </c:pt>
                <c:pt idx="2">
                  <c:v>209326</c:v>
                </c:pt>
                <c:pt idx="3">
                  <c:v>212250</c:v>
                </c:pt>
                <c:pt idx="4">
                  <c:v>211736</c:v>
                </c:pt>
                <c:pt idx="5">
                  <c:v>211736</c:v>
                </c:pt>
              </c:numCache>
            </c:numRef>
          </c:val>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62615808"/>
        <c:axId val="470131264"/>
      </c:barChart>
      <c:catAx>
        <c:axId val="16261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31264"/>
        <c:crosses val="autoZero"/>
        <c:auto val="1"/>
        <c:lblAlgn val="ctr"/>
        <c:lblOffset val="100"/>
        <c:noMultiLvlLbl val="0"/>
      </c:catAx>
      <c:valAx>
        <c:axId val="47013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1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Investime për frymë (në lekë)</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11.49</c:v>
                </c:pt>
                <c:pt idx="1">
                  <c:v>11.77</c:v>
                </c:pt>
                <c:pt idx="2">
                  <c:v>17.82</c:v>
                </c:pt>
                <c:pt idx="3">
                  <c:v>10.75</c:v>
                </c:pt>
                <c:pt idx="4">
                  <c:v>7.76</c:v>
                </c:pt>
                <c:pt idx="5">
                  <c:v>13.16</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617344"/>
        <c:axId val="470132992"/>
      </c:lineChart>
      <c:catAx>
        <c:axId val="16261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32992"/>
        <c:crosses val="autoZero"/>
        <c:auto val="1"/>
        <c:lblAlgn val="ctr"/>
        <c:lblOffset val="100"/>
        <c:noMultiLvlLbl val="0"/>
      </c:catAx>
      <c:valAx>
        <c:axId val="470132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1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Nxënës të regjistruar në sistemin e arsimit të mesëm</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584</c:v>
                </c:pt>
                <c:pt idx="1">
                  <c:v>568</c:v>
                </c:pt>
                <c:pt idx="2">
                  <c:v>565</c:v>
                </c:pt>
                <c:pt idx="3">
                  <c:v>565</c:v>
                </c:pt>
                <c:pt idx="4">
                  <c:v>565</c:v>
                </c:pt>
                <c:pt idx="5">
                  <c:v>565</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4258048"/>
        <c:axId val="144485760"/>
      </c:barChart>
      <c:catAx>
        <c:axId val="144258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85760"/>
        <c:crosses val="autoZero"/>
        <c:auto val="1"/>
        <c:lblAlgn val="ctr"/>
        <c:lblOffset val="100"/>
        <c:noMultiLvlLbl val="0"/>
      </c:catAx>
      <c:valAx>
        <c:axId val="144485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25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Pesha e personelit në buxhet</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0.3</c:v>
                </c:pt>
                <c:pt idx="1">
                  <c:v>0.41</c:v>
                </c:pt>
                <c:pt idx="2">
                  <c:v>0.53</c:v>
                </c:pt>
                <c:pt idx="3">
                  <c:v>0.54</c:v>
                </c:pt>
                <c:pt idx="4">
                  <c:v>0.43</c:v>
                </c:pt>
                <c:pt idx="5">
                  <c:v>0.57999999999999996</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617856"/>
        <c:axId val="470134720"/>
      </c:lineChart>
      <c:catAx>
        <c:axId val="16261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34720"/>
        <c:crosses val="autoZero"/>
        <c:auto val="1"/>
        <c:lblAlgn val="ctr"/>
        <c:lblOffset val="100"/>
        <c:noMultiLvlLbl val="0"/>
      </c:catAx>
      <c:valAx>
        <c:axId val="470134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1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Pesha e shpenzimeve operacionale në buxhet</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0.13</c:v>
                </c:pt>
                <c:pt idx="1">
                  <c:v>0.16</c:v>
                </c:pt>
                <c:pt idx="2">
                  <c:v>0.23</c:v>
                </c:pt>
                <c:pt idx="3">
                  <c:v>0.16</c:v>
                </c:pt>
                <c:pt idx="4">
                  <c:v>0.17</c:v>
                </c:pt>
                <c:pt idx="5">
                  <c:v>0.22</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62618368"/>
        <c:axId val="470137024"/>
      </c:lineChart>
      <c:catAx>
        <c:axId val="162618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37024"/>
        <c:crosses val="autoZero"/>
        <c:auto val="1"/>
        <c:lblAlgn val="ctr"/>
        <c:lblOffset val="100"/>
        <c:noMultiLvlLbl val="0"/>
      </c:catAx>
      <c:valAx>
        <c:axId val="470137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18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Pesha e detyrimeve financiare të papaguara ndaj të tretëve (%)</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0</c:v>
                </c:pt>
                <c:pt idx="1">
                  <c:v>0</c:v>
                </c:pt>
                <c:pt idx="2">
                  <c:v>2.66</c:v>
                </c:pt>
                <c:pt idx="3">
                  <c:v>0</c:v>
                </c:pt>
                <c:pt idx="4">
                  <c:v>0</c:v>
                </c:pt>
                <c:pt idx="5">
                  <c:v>0</c:v>
                </c:pt>
              </c:numCache>
            </c:numRef>
          </c:val>
          <c:smooth val="0"/>
          <c:extLst xmlns:mc="http://schemas.openxmlformats.org/markup-compatibility/2006" xmlns:c14="http://schemas.microsoft.com/office/drawing/2007/8/2/chart" xmlns:c16="http://schemas.microsoft.com/office/drawing/2014/chart">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213274624"/>
        <c:axId val="225411072"/>
      </c:lineChart>
      <c:catAx>
        <c:axId val="21327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411072"/>
        <c:crosses val="autoZero"/>
        <c:auto val="1"/>
        <c:lblAlgn val="ctr"/>
        <c:lblOffset val="100"/>
        <c:noMultiLvlLbl val="0"/>
      </c:catAx>
      <c:valAx>
        <c:axId val="225411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27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0"/>
    </c:title>
    <c:autoTitleDeleted val="0"/>
    <c:plotArea>
      <c:layout/>
      <c:barChart>
        <c:barDir val="col"/>
        <c:grouping val="clustered"/>
        <c:varyColors val="0"/>
        <c:ser>
          <c:idx val="0"/>
          <c:order val="0"/>
          <c:tx>
            <c:strRef>
              <c:f>Sheet1!$B$1</c:f>
              <c:strCache>
                <c:ptCount val="1"/>
                <c:pt idx="0">
                  <c:v>Shpenzimet e programit në lekë</c:v>
                </c:pt>
              </c:strCache>
            </c:strRef>
          </c:tx>
          <c:spPr>
            <a:solidFill>
              <a:srgbClr val="5B9BD5"/>
            </a:solidFill>
            <a:ln>
              <a:solidFill>
                <a:srgbClr val="FFFFFF"/>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6"/>
                <c:pt idx="0">
                  <c:v>Viti 2021</c:v>
                </c:pt>
                <c:pt idx="1">
                  <c:v>Viti 2022</c:v>
                </c:pt>
                <c:pt idx="2">
                  <c:v>Viti 2023</c:v>
                </c:pt>
                <c:pt idx="3">
                  <c:v>Viti 2024</c:v>
                </c:pt>
                <c:pt idx="4">
                  <c:v>Viti 2025</c:v>
                </c:pt>
                <c:pt idx="5">
                  <c:v>Viti 2026</c:v>
                </c:pt>
              </c:strCache>
            </c:strRef>
          </c:cat>
          <c:val>
            <c:numRef>
              <c:f>Sheet1!$B$2:$B$5</c:f>
              <c:numCache>
                <c:formatCode>General</c:formatCode>
                <c:ptCount val="6"/>
                <c:pt idx="0">
                  <c:v>59366000</c:v>
                </c:pt>
                <c:pt idx="1">
                  <c:v>5689000</c:v>
                </c:pt>
                <c:pt idx="2">
                  <c:v>5770000</c:v>
                </c:pt>
                <c:pt idx="3">
                  <c:v>2436000</c:v>
                </c:pt>
                <c:pt idx="4">
                  <c:v>2436000</c:v>
                </c:pt>
                <c:pt idx="5">
                  <c:v>2436000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3C62-407C-9563-058FFB036A79}"/>
            </c:ext>
          </c:extLst>
        </c:ser>
        <c:dLbls>
          <c:showLegendKey val="0"/>
          <c:showVal val="1"/>
          <c:showCatName val="0"/>
          <c:showSerName val="0"/>
          <c:showPercent val="0"/>
          <c:showBubbleSize val="0"/>
        </c:dLbls>
        <c:gapWidth val="219"/>
        <c:overlap val="-27"/>
        <c:axId val="144258560"/>
        <c:axId val="144487488"/>
      </c:barChart>
      <c:catAx>
        <c:axId val="14425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87488"/>
        <c:crosses val="autoZero"/>
        <c:auto val="1"/>
        <c:lblAlgn val="ctr"/>
        <c:lblOffset val="100"/>
        <c:noMultiLvlLbl val="0"/>
      </c:catAx>
      <c:valAx>
        <c:axId val="144487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25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Sipërfaqe bujqësore e mbuluar me ujitje</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43.55</c:v>
                </c:pt>
                <c:pt idx="1">
                  <c:v>43.55</c:v>
                </c:pt>
                <c:pt idx="2">
                  <c:v>43.55</c:v>
                </c:pt>
                <c:pt idx="3">
                  <c:v>43.55</c:v>
                </c:pt>
                <c:pt idx="4">
                  <c:v>43.84</c:v>
                </c:pt>
                <c:pt idx="5">
                  <c:v>44.25</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27347200"/>
        <c:axId val="144489216"/>
      </c:lineChart>
      <c:catAx>
        <c:axId val="12734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489216"/>
        <c:crosses val="autoZero"/>
        <c:auto val="1"/>
        <c:lblAlgn val="ctr"/>
        <c:lblOffset val="100"/>
        <c:noMultiLvlLbl val="0"/>
      </c:catAx>
      <c:valAx>
        <c:axId val="14448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4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en-US"/>
          </a:p>
        </c:rich>
      </c:tx>
      <c:overlay val="1"/>
    </c:title>
    <c:autoTitleDeleted val="0"/>
    <c:plotArea>
      <c:layout/>
      <c:lineChart>
        <c:grouping val="standard"/>
        <c:varyColors val="0"/>
        <c:ser>
          <c:idx val="0"/>
          <c:order val="0"/>
          <c:tx>
            <c:strRef>
              <c:f>Sheet1!$B$1</c:f>
              <c:strCache>
                <c:ptCount val="1"/>
                <c:pt idx="0">
                  <c:v>Përmirësim i rrjetit kullues</c:v>
                </c:pt>
              </c:strCache>
            </c:strRef>
          </c:tx>
          <c:spPr>
            <a:ln w="28575" cap="rnd">
              <a:solidFill>
                <a:srgbClr val="5B9BD5"/>
              </a:solidFill>
              <a:round/>
            </a:ln>
            <a:effectLst/>
          </c:spPr>
          <c:marker>
            <c:symbol val="none"/>
          </c:marker>
          <c:cat>
            <c:strRef>
              <c:f>Sheet1!$A$2:$A$8</c:f>
              <c:strCache>
                <c:ptCount val="6"/>
                <c:pt idx="0">
                  <c:v>Viti 2021</c:v>
                </c:pt>
                <c:pt idx="1">
                  <c:v>Viti 2022</c:v>
                </c:pt>
                <c:pt idx="2">
                  <c:v>Viti 2023</c:v>
                </c:pt>
                <c:pt idx="3">
                  <c:v>Viti 2024</c:v>
                </c:pt>
                <c:pt idx="4">
                  <c:v>Viti 2025</c:v>
                </c:pt>
                <c:pt idx="5">
                  <c:v>Viti 2026</c:v>
                </c:pt>
              </c:strCache>
            </c:strRef>
          </c:cat>
          <c:val>
            <c:numRef>
              <c:f>Sheet1!$B$2:$B$7</c:f>
              <c:numCache>
                <c:formatCode>General</c:formatCode>
                <c:ptCount val="6"/>
                <c:pt idx="0">
                  <c:v>47.01</c:v>
                </c:pt>
                <c:pt idx="1">
                  <c:v>51.28</c:v>
                </c:pt>
                <c:pt idx="2">
                  <c:v>52.99</c:v>
                </c:pt>
                <c:pt idx="3">
                  <c:v>55.56</c:v>
                </c:pt>
                <c:pt idx="4">
                  <c:v>59.83</c:v>
                </c:pt>
                <c:pt idx="5">
                  <c:v>64.099999999999994</c:v>
                </c:pt>
              </c:numCache>
            </c:numRef>
          </c:val>
          <c:smooth val="0"/>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4DFD-4B95-BC23-116FD62212BE}"/>
            </c:ext>
          </c:extLst>
        </c:ser>
        <c:dLbls>
          <c:showLegendKey val="0"/>
          <c:showVal val="0"/>
          <c:showCatName val="0"/>
          <c:showSerName val="0"/>
          <c:showPercent val="0"/>
          <c:showBubbleSize val="0"/>
        </c:dLbls>
        <c:smooth val="0"/>
        <c:axId val="147569152"/>
        <c:axId val="152249472"/>
      </c:lineChart>
      <c:catAx>
        <c:axId val="14756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249472"/>
        <c:crosses val="autoZero"/>
        <c:auto val="1"/>
        <c:lblAlgn val="ctr"/>
        <c:lblOffset val="100"/>
        <c:noMultiLvlLbl val="0"/>
      </c:catAx>
      <c:valAx>
        <c:axId val="152249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56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62385B-CD77-4618-A11C-55046B067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143</Pages>
  <Words>21437</Words>
  <Characters>122192</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Endri Xh;Denisa Canaj</dc:creator>
  <cp:lastModifiedBy>Smart</cp:lastModifiedBy>
  <cp:revision>2</cp:revision>
  <cp:lastPrinted>2025-11-13T12:50:00Z</cp:lastPrinted>
  <dcterms:created xsi:type="dcterms:W3CDTF">2025-12-03T08:50:00Z</dcterms:created>
  <dcterms:modified xsi:type="dcterms:W3CDTF">2025-12-03T08:50:00Z</dcterms:modified>
</cp:coreProperties>
</file>